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B0" w:rsidRDefault="00D25EB0" w:rsidP="00945FA0">
      <w:pPr>
        <w:spacing w:line="480" w:lineRule="auto"/>
        <w:rPr>
          <w:rFonts w:ascii="Arial" w:hAnsi="Arial" w:cs="Arial"/>
          <w:b/>
          <w:sz w:val="20"/>
          <w:szCs w:val="20"/>
        </w:rPr>
      </w:pPr>
    </w:p>
    <w:p w:rsidR="00EE40F5" w:rsidRDefault="00EE40F5" w:rsidP="00945FA0">
      <w:pPr>
        <w:spacing w:line="480" w:lineRule="auto"/>
        <w:rPr>
          <w:rFonts w:ascii="Arial" w:hAnsi="Arial" w:cs="Arial"/>
          <w:b/>
          <w:sz w:val="20"/>
          <w:szCs w:val="20"/>
        </w:rPr>
      </w:pPr>
      <w:r w:rsidRPr="005A5766">
        <w:rPr>
          <w:rFonts w:ascii="Arial" w:hAnsi="Arial" w:cs="Arial"/>
          <w:b/>
          <w:sz w:val="20"/>
          <w:szCs w:val="20"/>
        </w:rPr>
        <w:t>Supplementary Information</w:t>
      </w:r>
    </w:p>
    <w:p w:rsidR="00C436DF" w:rsidRPr="00C436DF" w:rsidRDefault="00C436DF" w:rsidP="00C436DF">
      <w:pPr>
        <w:spacing w:line="480" w:lineRule="auto"/>
        <w:jc w:val="center"/>
        <w:rPr>
          <w:rFonts w:ascii="Arial" w:hAnsi="Arial" w:cs="Arial"/>
          <w:b/>
          <w:sz w:val="20"/>
          <w:szCs w:val="20"/>
        </w:rPr>
      </w:pPr>
      <w:r w:rsidRPr="00514C28">
        <w:rPr>
          <w:rFonts w:ascii="Arial" w:hAnsi="Arial" w:cs="Arial"/>
          <w:b/>
          <w:sz w:val="20"/>
          <w:szCs w:val="20"/>
        </w:rPr>
        <w:t xml:space="preserve">Integrating phenotypic search and phosphoproteomic profiling of active kinases for optimization of drug mixtures for </w:t>
      </w:r>
      <w:r>
        <w:rPr>
          <w:rFonts w:ascii="Arial" w:hAnsi="Arial" w:cs="Arial"/>
          <w:b/>
          <w:sz w:val="20"/>
          <w:szCs w:val="20"/>
        </w:rPr>
        <w:t>RCC treatment</w:t>
      </w:r>
    </w:p>
    <w:p w:rsidR="00C436DF" w:rsidRPr="00514C28" w:rsidRDefault="00C436DF" w:rsidP="00C436DF">
      <w:pPr>
        <w:spacing w:line="480" w:lineRule="auto"/>
        <w:rPr>
          <w:rFonts w:ascii="Arial" w:hAnsi="Arial" w:cs="Arial"/>
          <w:sz w:val="20"/>
          <w:szCs w:val="20"/>
        </w:rPr>
      </w:pPr>
      <w:r w:rsidRPr="00514C28">
        <w:rPr>
          <w:rFonts w:ascii="Arial" w:hAnsi="Arial" w:cs="Arial"/>
          <w:sz w:val="20"/>
          <w:szCs w:val="20"/>
        </w:rPr>
        <w:t>Judy R. van Beijnum</w:t>
      </w:r>
      <w:r w:rsidRPr="00430362">
        <w:rPr>
          <w:rFonts w:ascii="Arial" w:hAnsi="Arial" w:cs="Arial"/>
          <w:sz w:val="20"/>
          <w:szCs w:val="20"/>
          <w:vertAlign w:val="superscript"/>
        </w:rPr>
        <w:t>1</w:t>
      </w:r>
      <w:r w:rsidRPr="00514C28">
        <w:rPr>
          <w:rFonts w:ascii="Arial" w:hAnsi="Arial" w:cs="Arial"/>
          <w:sz w:val="20"/>
          <w:szCs w:val="20"/>
        </w:rPr>
        <w:t>, Andrea Weiss</w:t>
      </w:r>
      <w:r w:rsidRPr="00430362">
        <w:rPr>
          <w:rFonts w:ascii="Arial" w:hAnsi="Arial" w:cs="Arial"/>
          <w:sz w:val="20"/>
          <w:szCs w:val="20"/>
          <w:vertAlign w:val="superscript"/>
        </w:rPr>
        <w:t>2, 3</w:t>
      </w:r>
      <w:r>
        <w:rPr>
          <w:rFonts w:ascii="Arial" w:hAnsi="Arial" w:cs="Arial"/>
          <w:sz w:val="20"/>
          <w:szCs w:val="20"/>
        </w:rPr>
        <w:t>,</w:t>
      </w:r>
      <w:r w:rsidRPr="00E12F79">
        <w:rPr>
          <w:rFonts w:ascii="Arial" w:hAnsi="Arial" w:cs="Arial"/>
          <w:sz w:val="20"/>
          <w:szCs w:val="20"/>
        </w:rPr>
        <w:t xml:space="preserve"> </w:t>
      </w:r>
      <w:r w:rsidRPr="00514C28">
        <w:rPr>
          <w:rFonts w:ascii="Arial" w:hAnsi="Arial" w:cs="Arial"/>
          <w:sz w:val="20"/>
          <w:szCs w:val="20"/>
        </w:rPr>
        <w:t>Robert H. Berndsen</w:t>
      </w:r>
      <w:r w:rsidRPr="00430362">
        <w:rPr>
          <w:rFonts w:ascii="Arial" w:hAnsi="Arial" w:cs="Arial"/>
          <w:sz w:val="20"/>
          <w:szCs w:val="20"/>
          <w:vertAlign w:val="superscript"/>
        </w:rPr>
        <w:t xml:space="preserve"> </w:t>
      </w:r>
      <w:r w:rsidRPr="00514C28">
        <w:rPr>
          <w:rFonts w:ascii="Arial" w:hAnsi="Arial" w:cs="Arial"/>
          <w:sz w:val="20"/>
          <w:szCs w:val="20"/>
        </w:rPr>
        <w:t xml:space="preserve">, </w:t>
      </w:r>
      <w:r>
        <w:rPr>
          <w:rFonts w:ascii="Arial" w:hAnsi="Arial" w:cs="Arial"/>
          <w:sz w:val="20"/>
          <w:szCs w:val="20"/>
        </w:rPr>
        <w:t>Tse J. Wong</w:t>
      </w:r>
      <w:r w:rsidRPr="00430362">
        <w:rPr>
          <w:rFonts w:ascii="Arial" w:hAnsi="Arial" w:cs="Arial"/>
          <w:sz w:val="20"/>
          <w:szCs w:val="20"/>
          <w:vertAlign w:val="superscript"/>
        </w:rPr>
        <w:t>1</w:t>
      </w:r>
      <w:r>
        <w:rPr>
          <w:rFonts w:ascii="Arial" w:hAnsi="Arial" w:cs="Arial"/>
          <w:sz w:val="20"/>
          <w:szCs w:val="20"/>
        </w:rPr>
        <w:t xml:space="preserve">, </w:t>
      </w:r>
      <w:r w:rsidRPr="00514C28">
        <w:rPr>
          <w:rFonts w:ascii="Arial" w:hAnsi="Arial" w:cs="Arial"/>
          <w:sz w:val="20"/>
          <w:szCs w:val="20"/>
        </w:rPr>
        <w:t xml:space="preserve">Louise </w:t>
      </w:r>
      <w:r>
        <w:rPr>
          <w:rFonts w:ascii="Arial" w:hAnsi="Arial" w:cs="Arial"/>
          <w:sz w:val="20"/>
          <w:szCs w:val="20"/>
        </w:rPr>
        <w:t xml:space="preserve">C. </w:t>
      </w:r>
      <w:r w:rsidRPr="00514C28">
        <w:rPr>
          <w:rFonts w:ascii="Arial" w:hAnsi="Arial" w:cs="Arial"/>
          <w:sz w:val="20"/>
          <w:szCs w:val="20"/>
        </w:rPr>
        <w:t>Reckman</w:t>
      </w:r>
      <w:r w:rsidRPr="00430362">
        <w:rPr>
          <w:rFonts w:ascii="Arial" w:hAnsi="Arial" w:cs="Arial"/>
          <w:sz w:val="20"/>
          <w:szCs w:val="20"/>
          <w:vertAlign w:val="superscript"/>
        </w:rPr>
        <w:t>1</w:t>
      </w:r>
      <w:r w:rsidRPr="00514C28">
        <w:rPr>
          <w:rFonts w:ascii="Arial" w:hAnsi="Arial" w:cs="Arial"/>
          <w:sz w:val="20"/>
          <w:szCs w:val="20"/>
        </w:rPr>
        <w:t>, Sander R. Piersma</w:t>
      </w:r>
      <w:r w:rsidRPr="00430362">
        <w:rPr>
          <w:rFonts w:ascii="Arial" w:hAnsi="Arial" w:cs="Arial"/>
          <w:sz w:val="20"/>
          <w:szCs w:val="20"/>
          <w:vertAlign w:val="superscript"/>
        </w:rPr>
        <w:t>4,5</w:t>
      </w:r>
      <w:r>
        <w:rPr>
          <w:rFonts w:ascii="Arial" w:hAnsi="Arial" w:cs="Arial"/>
          <w:sz w:val="20"/>
          <w:szCs w:val="20"/>
        </w:rPr>
        <w:t xml:space="preserve">, </w:t>
      </w:r>
      <w:r w:rsidRPr="00514C28">
        <w:rPr>
          <w:rFonts w:ascii="Arial" w:hAnsi="Arial" w:cs="Arial"/>
          <w:sz w:val="20"/>
          <w:szCs w:val="20"/>
        </w:rPr>
        <w:t>Marloes Zoetemelk</w:t>
      </w:r>
      <w:r w:rsidRPr="00430362">
        <w:rPr>
          <w:rFonts w:ascii="Arial" w:hAnsi="Arial" w:cs="Arial"/>
          <w:sz w:val="20"/>
          <w:szCs w:val="20"/>
          <w:vertAlign w:val="superscript"/>
        </w:rPr>
        <w:t>2,3</w:t>
      </w:r>
      <w:r w:rsidRPr="00514C28">
        <w:rPr>
          <w:rFonts w:ascii="Arial" w:hAnsi="Arial" w:cs="Arial"/>
          <w:sz w:val="20"/>
          <w:szCs w:val="20"/>
        </w:rPr>
        <w:t xml:space="preserve">, </w:t>
      </w:r>
      <w:r>
        <w:rPr>
          <w:rFonts w:ascii="Arial" w:hAnsi="Arial" w:cs="Arial"/>
          <w:sz w:val="20"/>
          <w:szCs w:val="20"/>
        </w:rPr>
        <w:t>Richard de Haas</w:t>
      </w:r>
      <w:r w:rsidRPr="00430362">
        <w:rPr>
          <w:rFonts w:ascii="Arial" w:hAnsi="Arial" w:cs="Arial"/>
          <w:sz w:val="20"/>
          <w:szCs w:val="20"/>
          <w:vertAlign w:val="superscript"/>
        </w:rPr>
        <w:t>1,4,5</w:t>
      </w:r>
      <w:r>
        <w:rPr>
          <w:rFonts w:ascii="Arial" w:hAnsi="Arial" w:cs="Arial"/>
          <w:sz w:val="20"/>
          <w:szCs w:val="20"/>
        </w:rPr>
        <w:t>,</w:t>
      </w:r>
      <w:r w:rsidRPr="00430362">
        <w:rPr>
          <w:rFonts w:ascii="Arial" w:hAnsi="Arial" w:cs="Arial"/>
          <w:sz w:val="20"/>
          <w:szCs w:val="20"/>
        </w:rPr>
        <w:t>Olivier</w:t>
      </w:r>
      <w:r w:rsidRPr="00514C28">
        <w:rPr>
          <w:rFonts w:ascii="Arial" w:hAnsi="Arial" w:cs="Arial"/>
          <w:sz w:val="20"/>
          <w:szCs w:val="20"/>
        </w:rPr>
        <w:t xml:space="preserve"> Dormond</w:t>
      </w:r>
      <w:r w:rsidRPr="00430362">
        <w:rPr>
          <w:rFonts w:ascii="Arial" w:hAnsi="Arial" w:cs="Arial"/>
          <w:sz w:val="20"/>
          <w:szCs w:val="20"/>
          <w:vertAlign w:val="superscript"/>
        </w:rPr>
        <w:t>6</w:t>
      </w:r>
      <w:r w:rsidRPr="00514C28">
        <w:rPr>
          <w:rFonts w:ascii="Arial" w:hAnsi="Arial" w:cs="Arial"/>
          <w:sz w:val="20"/>
          <w:szCs w:val="20"/>
        </w:rPr>
        <w:t>,</w:t>
      </w:r>
      <w:r>
        <w:rPr>
          <w:rFonts w:ascii="Arial" w:hAnsi="Arial" w:cs="Arial"/>
          <w:sz w:val="20"/>
          <w:szCs w:val="20"/>
        </w:rPr>
        <w:t xml:space="preserve"> </w:t>
      </w:r>
      <w:r w:rsidRPr="00514C28">
        <w:rPr>
          <w:rFonts w:ascii="Arial" w:hAnsi="Arial" w:cs="Arial"/>
          <w:sz w:val="20"/>
          <w:szCs w:val="20"/>
        </w:rPr>
        <w:t>Axel Bex</w:t>
      </w:r>
      <w:r w:rsidRPr="00430362">
        <w:rPr>
          <w:rFonts w:ascii="Arial" w:hAnsi="Arial" w:cs="Arial"/>
          <w:sz w:val="20"/>
          <w:szCs w:val="20"/>
          <w:vertAlign w:val="superscript"/>
        </w:rPr>
        <w:t>7,8</w:t>
      </w:r>
      <w:r w:rsidRPr="00430362">
        <w:rPr>
          <w:rFonts w:ascii="Arial" w:hAnsi="Arial" w:cs="Arial"/>
          <w:sz w:val="20"/>
          <w:szCs w:val="20"/>
        </w:rPr>
        <w:t>,</w:t>
      </w:r>
      <w:r>
        <w:rPr>
          <w:rFonts w:ascii="Arial" w:hAnsi="Arial" w:cs="Arial"/>
          <w:sz w:val="20"/>
          <w:szCs w:val="20"/>
        </w:rPr>
        <w:t xml:space="preserve"> Alexander A. Henneman</w:t>
      </w:r>
      <w:r w:rsidRPr="00430362">
        <w:rPr>
          <w:rFonts w:ascii="Arial" w:hAnsi="Arial" w:cs="Arial"/>
          <w:sz w:val="20"/>
          <w:szCs w:val="20"/>
          <w:vertAlign w:val="superscript"/>
        </w:rPr>
        <w:t>4,5</w:t>
      </w:r>
      <w:r>
        <w:rPr>
          <w:rFonts w:ascii="Arial" w:hAnsi="Arial" w:cs="Arial"/>
          <w:sz w:val="20"/>
          <w:szCs w:val="20"/>
        </w:rPr>
        <w:t xml:space="preserve">, </w:t>
      </w:r>
      <w:r w:rsidRPr="00514C28">
        <w:rPr>
          <w:rFonts w:ascii="Arial" w:hAnsi="Arial" w:cs="Arial"/>
          <w:sz w:val="20"/>
          <w:szCs w:val="20"/>
        </w:rPr>
        <w:t>Connie R. Jimenez</w:t>
      </w:r>
      <w:r w:rsidRPr="00430362">
        <w:rPr>
          <w:rFonts w:ascii="Arial" w:hAnsi="Arial" w:cs="Arial"/>
          <w:sz w:val="20"/>
          <w:szCs w:val="20"/>
          <w:vertAlign w:val="superscript"/>
        </w:rPr>
        <w:t>4,5</w:t>
      </w:r>
      <w:r w:rsidRPr="00514C28">
        <w:rPr>
          <w:rFonts w:ascii="Arial" w:hAnsi="Arial" w:cs="Arial"/>
          <w:sz w:val="20"/>
          <w:szCs w:val="20"/>
        </w:rPr>
        <w:t>, Arjan W. Griffioen</w:t>
      </w:r>
      <w:r w:rsidRPr="00430362">
        <w:rPr>
          <w:rFonts w:ascii="Arial" w:hAnsi="Arial" w:cs="Arial"/>
          <w:sz w:val="20"/>
          <w:szCs w:val="20"/>
          <w:vertAlign w:val="superscript"/>
        </w:rPr>
        <w:t>1</w:t>
      </w:r>
      <w:r w:rsidRPr="00514C28">
        <w:rPr>
          <w:rFonts w:ascii="Arial" w:hAnsi="Arial" w:cs="Arial"/>
          <w:sz w:val="20"/>
          <w:szCs w:val="20"/>
        </w:rPr>
        <w:t>, Patrycja Nowak-Sliwinska</w:t>
      </w:r>
      <w:r w:rsidRPr="00430362">
        <w:rPr>
          <w:rFonts w:ascii="Arial" w:hAnsi="Arial" w:cs="Arial"/>
          <w:sz w:val="20"/>
          <w:szCs w:val="20"/>
          <w:vertAlign w:val="superscript"/>
        </w:rPr>
        <w:t>2,3</w:t>
      </w:r>
      <w:r>
        <w:rPr>
          <w:rFonts w:ascii="Arial" w:hAnsi="Arial" w:cs="Arial"/>
          <w:sz w:val="20"/>
          <w:szCs w:val="20"/>
          <w:vertAlign w:val="superscript"/>
        </w:rPr>
        <w:t>*</w:t>
      </w:r>
    </w:p>
    <w:p w:rsidR="00C436DF" w:rsidRPr="00430362" w:rsidRDefault="00C436DF" w:rsidP="00C436DF">
      <w:pPr>
        <w:spacing w:line="480" w:lineRule="auto"/>
        <w:rPr>
          <w:rFonts w:ascii="Arial" w:hAnsi="Arial" w:cs="Arial"/>
          <w:sz w:val="20"/>
          <w:szCs w:val="20"/>
        </w:rPr>
      </w:pPr>
    </w:p>
    <w:p w:rsidR="00C436DF" w:rsidRPr="00FE6894" w:rsidRDefault="00C436DF" w:rsidP="00C436DF">
      <w:pPr>
        <w:spacing w:line="480" w:lineRule="auto"/>
        <w:rPr>
          <w:rFonts w:ascii="Arial" w:hAnsi="Arial" w:cs="Arial"/>
          <w:sz w:val="20"/>
          <w:szCs w:val="20"/>
        </w:rPr>
      </w:pPr>
      <w:r w:rsidRPr="00FE6894">
        <w:rPr>
          <w:rFonts w:ascii="Arial" w:hAnsi="Arial" w:cs="Arial"/>
          <w:sz w:val="20"/>
          <w:szCs w:val="20"/>
          <w:vertAlign w:val="superscript"/>
          <w:lang w:eastAsia="zh-CN"/>
        </w:rPr>
        <w:t>1</w:t>
      </w:r>
      <w:r w:rsidRPr="00FE6894">
        <w:rPr>
          <w:rFonts w:ascii="Arial" w:hAnsi="Arial" w:cs="Arial"/>
          <w:sz w:val="20"/>
          <w:szCs w:val="20"/>
        </w:rPr>
        <w:t xml:space="preserve">Angiogenesis Laboratory, Department of Medical Oncology, </w:t>
      </w:r>
      <w:r w:rsidRPr="00FE6894">
        <w:rPr>
          <w:rFonts w:ascii="Arial" w:hAnsi="Arial" w:cs="Arial"/>
          <w:sz w:val="20"/>
          <w:szCs w:val="20"/>
          <w:shd w:val="clear" w:color="auto" w:fill="FFFFFF"/>
        </w:rPr>
        <w:t xml:space="preserve">Amsterdam UMC, </w:t>
      </w:r>
      <w:proofErr w:type="spellStart"/>
      <w:r w:rsidRPr="00FE6894">
        <w:rPr>
          <w:rFonts w:ascii="Arial" w:hAnsi="Arial" w:cs="Arial"/>
          <w:sz w:val="20"/>
          <w:szCs w:val="20"/>
          <w:shd w:val="clear" w:color="auto" w:fill="FFFFFF"/>
        </w:rPr>
        <w:t>Vrije</w:t>
      </w:r>
      <w:proofErr w:type="spellEnd"/>
      <w:r w:rsidRPr="00FE6894">
        <w:rPr>
          <w:rFonts w:ascii="Arial" w:hAnsi="Arial" w:cs="Arial"/>
          <w:sz w:val="20"/>
          <w:szCs w:val="20"/>
          <w:shd w:val="clear" w:color="auto" w:fill="FFFFFF"/>
        </w:rPr>
        <w:t xml:space="preserve"> </w:t>
      </w:r>
      <w:proofErr w:type="spellStart"/>
      <w:r w:rsidRPr="00FE6894">
        <w:rPr>
          <w:rFonts w:ascii="Arial" w:hAnsi="Arial" w:cs="Arial"/>
          <w:sz w:val="20"/>
          <w:szCs w:val="20"/>
          <w:shd w:val="clear" w:color="auto" w:fill="FFFFFF"/>
        </w:rPr>
        <w:t>Universiteit</w:t>
      </w:r>
      <w:proofErr w:type="spellEnd"/>
      <w:r w:rsidRPr="00FE6894">
        <w:rPr>
          <w:rFonts w:ascii="Arial" w:hAnsi="Arial" w:cs="Arial"/>
          <w:sz w:val="20"/>
          <w:szCs w:val="20"/>
          <w:shd w:val="clear" w:color="auto" w:fill="FFFFFF"/>
        </w:rPr>
        <w:t xml:space="preserve"> Amsterdam, Medical Oncology, Cancer Center Amsterdam, De </w:t>
      </w:r>
      <w:proofErr w:type="spellStart"/>
      <w:r w:rsidRPr="00FE6894">
        <w:rPr>
          <w:rFonts w:ascii="Arial" w:hAnsi="Arial" w:cs="Arial"/>
          <w:sz w:val="20"/>
          <w:szCs w:val="20"/>
          <w:shd w:val="clear" w:color="auto" w:fill="FFFFFF"/>
        </w:rPr>
        <w:t>Boelelaan</w:t>
      </w:r>
      <w:proofErr w:type="spellEnd"/>
      <w:r w:rsidRPr="00FE6894">
        <w:rPr>
          <w:rFonts w:ascii="Arial" w:hAnsi="Arial" w:cs="Arial"/>
          <w:sz w:val="20"/>
          <w:szCs w:val="20"/>
          <w:shd w:val="clear" w:color="auto" w:fill="FFFFFF"/>
        </w:rPr>
        <w:t xml:space="preserve"> 1117, Amsterdam, Netherlands</w:t>
      </w:r>
      <w:r w:rsidRPr="00FE6894">
        <w:rPr>
          <w:rFonts w:ascii="Arial" w:hAnsi="Arial" w:cs="Arial"/>
          <w:sz w:val="20"/>
          <w:szCs w:val="20"/>
        </w:rPr>
        <w:t>;</w:t>
      </w:r>
    </w:p>
    <w:p w:rsidR="00C436DF" w:rsidRPr="00084FAF" w:rsidRDefault="00C436DF" w:rsidP="00C436DF">
      <w:pPr>
        <w:spacing w:line="480" w:lineRule="auto"/>
        <w:rPr>
          <w:rFonts w:ascii="Arial" w:hAnsi="Arial" w:cs="Arial"/>
          <w:sz w:val="20"/>
          <w:szCs w:val="20"/>
        </w:rPr>
      </w:pPr>
      <w:r w:rsidRPr="00FE6894">
        <w:rPr>
          <w:rFonts w:ascii="Arial" w:hAnsi="Arial" w:cs="Arial"/>
          <w:sz w:val="20"/>
          <w:szCs w:val="20"/>
          <w:vertAlign w:val="superscript"/>
        </w:rPr>
        <w:t>2</w:t>
      </w:r>
      <w:r w:rsidRPr="00FE6894">
        <w:rPr>
          <w:rFonts w:ascii="Arial" w:hAnsi="Arial" w:cs="Arial"/>
          <w:sz w:val="20"/>
          <w:szCs w:val="20"/>
        </w:rPr>
        <w:t xml:space="preserve">Institute of Pharmaceutical Sciences of Western Switzerland, Faculty of Sciences, </w:t>
      </w:r>
      <w:r w:rsidRPr="00FE6894">
        <w:rPr>
          <w:rFonts w:ascii="Arial" w:hAnsi="Arial" w:cs="Arial"/>
          <w:sz w:val="20"/>
          <w:szCs w:val="20"/>
          <w:shd w:val="clear" w:color="auto" w:fill="FFFFFF"/>
        </w:rPr>
        <w:t>University of Geneva,</w:t>
      </w:r>
      <w:r w:rsidRPr="00FE6894">
        <w:rPr>
          <w:rFonts w:ascii="Arial" w:hAnsi="Arial" w:cs="Arial"/>
          <w:sz w:val="20"/>
          <w:szCs w:val="20"/>
        </w:rPr>
        <w:t xml:space="preserve"> Geneva, Switzerland; </w:t>
      </w:r>
      <w:r w:rsidRPr="00FE6894">
        <w:rPr>
          <w:rFonts w:ascii="Arial" w:hAnsi="Arial" w:cs="Arial"/>
          <w:sz w:val="20"/>
          <w:szCs w:val="20"/>
          <w:vertAlign w:val="superscript"/>
        </w:rPr>
        <w:t>3</w:t>
      </w:r>
      <w:r w:rsidRPr="00FE6894">
        <w:rPr>
          <w:rFonts w:ascii="Arial" w:hAnsi="Arial" w:cs="Arial"/>
          <w:sz w:val="20"/>
          <w:szCs w:val="20"/>
        </w:rPr>
        <w:t xml:space="preserve">Translational Research Centre in </w:t>
      </w:r>
      <w:proofErr w:type="spellStart"/>
      <w:r w:rsidRPr="00FE6894">
        <w:rPr>
          <w:rFonts w:ascii="Arial" w:hAnsi="Arial" w:cs="Arial"/>
          <w:sz w:val="20"/>
          <w:szCs w:val="20"/>
        </w:rPr>
        <w:t>Oncohaematology</w:t>
      </w:r>
      <w:proofErr w:type="spellEnd"/>
      <w:r w:rsidRPr="00FE6894">
        <w:rPr>
          <w:rFonts w:ascii="Arial" w:hAnsi="Arial" w:cs="Arial"/>
          <w:sz w:val="20"/>
          <w:szCs w:val="20"/>
        </w:rPr>
        <w:t xml:space="preserve">, Geneva, Switzerland; </w:t>
      </w:r>
      <w:r w:rsidRPr="00FE6894">
        <w:rPr>
          <w:rFonts w:ascii="Arial" w:hAnsi="Arial" w:cs="Arial"/>
          <w:sz w:val="20"/>
          <w:szCs w:val="20"/>
          <w:vertAlign w:val="superscript"/>
        </w:rPr>
        <w:t>4</w:t>
      </w:r>
      <w:r w:rsidRPr="00FE6894">
        <w:rPr>
          <w:rFonts w:ascii="Arial" w:hAnsi="Arial" w:cs="Arial"/>
          <w:sz w:val="20"/>
          <w:szCs w:val="20"/>
        </w:rPr>
        <w:t xml:space="preserve">Department of Medical Oncology, </w:t>
      </w:r>
      <w:r w:rsidRPr="00FE6894">
        <w:rPr>
          <w:rFonts w:ascii="Arial" w:hAnsi="Arial" w:cs="Arial"/>
          <w:sz w:val="20"/>
          <w:szCs w:val="20"/>
          <w:shd w:val="clear" w:color="auto" w:fill="FFFFFF"/>
        </w:rPr>
        <w:t xml:space="preserve">Amsterdam UMC, </w:t>
      </w:r>
      <w:proofErr w:type="spellStart"/>
      <w:r w:rsidRPr="00FE6894">
        <w:rPr>
          <w:rFonts w:ascii="Arial" w:hAnsi="Arial" w:cs="Arial"/>
          <w:sz w:val="20"/>
          <w:szCs w:val="20"/>
          <w:shd w:val="clear" w:color="auto" w:fill="FFFFFF"/>
        </w:rPr>
        <w:t>Vrije</w:t>
      </w:r>
      <w:proofErr w:type="spellEnd"/>
      <w:r w:rsidRPr="00FE6894">
        <w:rPr>
          <w:rFonts w:ascii="Arial" w:hAnsi="Arial" w:cs="Arial"/>
          <w:sz w:val="20"/>
          <w:szCs w:val="20"/>
          <w:shd w:val="clear" w:color="auto" w:fill="FFFFFF"/>
        </w:rPr>
        <w:t xml:space="preserve"> </w:t>
      </w:r>
      <w:proofErr w:type="spellStart"/>
      <w:r w:rsidRPr="00FE6894">
        <w:rPr>
          <w:rFonts w:ascii="Arial" w:hAnsi="Arial" w:cs="Arial"/>
          <w:sz w:val="20"/>
          <w:szCs w:val="20"/>
          <w:shd w:val="clear" w:color="auto" w:fill="FFFFFF"/>
        </w:rPr>
        <w:t>Universiteit</w:t>
      </w:r>
      <w:proofErr w:type="spellEnd"/>
      <w:r w:rsidRPr="00FE6894">
        <w:rPr>
          <w:rFonts w:ascii="Arial" w:hAnsi="Arial" w:cs="Arial"/>
          <w:sz w:val="20"/>
          <w:szCs w:val="20"/>
          <w:shd w:val="clear" w:color="auto" w:fill="FFFFFF"/>
        </w:rPr>
        <w:t xml:space="preserve"> Amsterdam, Medical Oncology, Cancer Center Amsterdam, De </w:t>
      </w:r>
      <w:proofErr w:type="spellStart"/>
      <w:r w:rsidRPr="00FE6894">
        <w:rPr>
          <w:rFonts w:ascii="Arial" w:hAnsi="Arial" w:cs="Arial"/>
          <w:sz w:val="20"/>
          <w:szCs w:val="20"/>
          <w:shd w:val="clear" w:color="auto" w:fill="FFFFFF"/>
        </w:rPr>
        <w:t>Boelelaan</w:t>
      </w:r>
      <w:proofErr w:type="spellEnd"/>
      <w:r w:rsidRPr="00FE6894">
        <w:rPr>
          <w:rFonts w:ascii="Arial" w:hAnsi="Arial" w:cs="Arial"/>
          <w:sz w:val="20"/>
          <w:szCs w:val="20"/>
          <w:shd w:val="clear" w:color="auto" w:fill="FFFFFF"/>
        </w:rPr>
        <w:t xml:space="preserve"> 1117, Amsterdam, Netherlands</w:t>
      </w:r>
      <w:r w:rsidRPr="00FE6894">
        <w:rPr>
          <w:rFonts w:ascii="Arial" w:hAnsi="Arial" w:cs="Arial"/>
          <w:sz w:val="20"/>
          <w:szCs w:val="20"/>
        </w:rPr>
        <w:t xml:space="preserve">; </w:t>
      </w:r>
      <w:r w:rsidRPr="00FE6894">
        <w:rPr>
          <w:rFonts w:ascii="Arial" w:hAnsi="Arial" w:cs="Arial"/>
          <w:sz w:val="20"/>
          <w:szCs w:val="20"/>
          <w:vertAlign w:val="superscript"/>
        </w:rPr>
        <w:t>5</w:t>
      </w:r>
      <w:r w:rsidRPr="00FE6894">
        <w:rPr>
          <w:rFonts w:ascii="Arial" w:hAnsi="Arial" w:cs="Arial"/>
          <w:sz w:val="20"/>
          <w:szCs w:val="20"/>
        </w:rPr>
        <w:t xml:space="preserve">OncoProteomics Laboratory, Cancer Center Amsterdam, Amsterdam UMC, </w:t>
      </w:r>
      <w:proofErr w:type="spellStart"/>
      <w:r w:rsidRPr="00FE6894">
        <w:rPr>
          <w:rFonts w:ascii="Arial" w:hAnsi="Arial" w:cs="Arial"/>
          <w:sz w:val="20"/>
          <w:szCs w:val="20"/>
        </w:rPr>
        <w:t>Vrije</w:t>
      </w:r>
      <w:proofErr w:type="spellEnd"/>
      <w:r w:rsidRPr="00FE6894">
        <w:rPr>
          <w:rFonts w:ascii="Arial" w:hAnsi="Arial" w:cs="Arial"/>
          <w:sz w:val="20"/>
          <w:szCs w:val="20"/>
        </w:rPr>
        <w:t xml:space="preserve"> </w:t>
      </w:r>
      <w:proofErr w:type="spellStart"/>
      <w:r w:rsidRPr="00FE6894">
        <w:rPr>
          <w:rFonts w:ascii="Arial" w:hAnsi="Arial" w:cs="Arial"/>
          <w:sz w:val="20"/>
          <w:szCs w:val="20"/>
        </w:rPr>
        <w:t>Universiteit</w:t>
      </w:r>
      <w:proofErr w:type="spellEnd"/>
      <w:r w:rsidRPr="00FE6894">
        <w:rPr>
          <w:rFonts w:ascii="Arial" w:hAnsi="Arial" w:cs="Arial"/>
          <w:sz w:val="20"/>
          <w:szCs w:val="20"/>
        </w:rPr>
        <w:t xml:space="preserve"> Amsterdam, Amsterdam, The Netherlands; </w:t>
      </w:r>
      <w:r w:rsidRPr="00FE6894">
        <w:rPr>
          <w:rFonts w:ascii="Arial" w:eastAsiaTheme="minorHAnsi" w:hAnsi="Arial" w:cs="Arial"/>
          <w:sz w:val="20"/>
          <w:szCs w:val="20"/>
          <w:vertAlign w:val="superscript"/>
        </w:rPr>
        <w:t>6</w:t>
      </w:r>
      <w:r w:rsidRPr="00FE6894">
        <w:rPr>
          <w:rFonts w:ascii="Arial" w:eastAsiaTheme="minorHAnsi" w:hAnsi="Arial" w:cs="Arial"/>
          <w:sz w:val="20"/>
          <w:szCs w:val="20"/>
        </w:rPr>
        <w:t xml:space="preserve">Department of Visceral surgery, Lausanne University Hospital and University of Lausanne, Lausanne, Switzerland; </w:t>
      </w:r>
      <w:r w:rsidRPr="00FE6894">
        <w:rPr>
          <w:rFonts w:ascii="Arial" w:eastAsiaTheme="minorHAnsi" w:hAnsi="Arial" w:cs="Arial"/>
          <w:sz w:val="20"/>
          <w:szCs w:val="20"/>
          <w:vertAlign w:val="superscript"/>
        </w:rPr>
        <w:t>7</w:t>
      </w:r>
      <w:r w:rsidRPr="00FE6894">
        <w:rPr>
          <w:rFonts w:ascii="Arial" w:hAnsi="Arial" w:cs="Arial"/>
          <w:sz w:val="20"/>
          <w:szCs w:val="20"/>
        </w:rPr>
        <w:t xml:space="preserve">Royal Free London NHS Foundation Trust, Renal Cancer Centre, UCL Division of Surgical and Interventional Science, London, UK; </w:t>
      </w:r>
      <w:r w:rsidRPr="00FE6894">
        <w:rPr>
          <w:rFonts w:ascii="Arial" w:hAnsi="Arial" w:cs="Arial"/>
          <w:sz w:val="20"/>
          <w:szCs w:val="20"/>
          <w:vertAlign w:val="superscript"/>
        </w:rPr>
        <w:t>8</w:t>
      </w:r>
      <w:r w:rsidRPr="00FE6894">
        <w:rPr>
          <w:rFonts w:ascii="Arial" w:hAnsi="Arial" w:cs="Arial"/>
          <w:sz w:val="20"/>
          <w:szCs w:val="20"/>
        </w:rPr>
        <w:t>Netherlands Cancer Institute, Amsterdam, The Netherlands.</w:t>
      </w:r>
    </w:p>
    <w:p w:rsidR="00C436DF" w:rsidRPr="00A27110" w:rsidRDefault="00C436DF" w:rsidP="00C436DF">
      <w:pPr>
        <w:spacing w:line="480" w:lineRule="auto"/>
        <w:rPr>
          <w:rFonts w:ascii="Arial" w:hAnsi="Arial" w:cs="Arial"/>
          <w:sz w:val="20"/>
          <w:szCs w:val="20"/>
        </w:rPr>
      </w:pPr>
      <w:r w:rsidRPr="00A27110">
        <w:rPr>
          <w:rFonts w:ascii="Arial" w:hAnsi="Arial" w:cs="Arial"/>
          <w:sz w:val="20"/>
          <w:szCs w:val="20"/>
        </w:rPr>
        <w:t xml:space="preserve">* Corresponding author </w:t>
      </w:r>
      <w:hyperlink r:id="rId9" w:history="1">
        <w:r w:rsidRPr="00A27110">
          <w:rPr>
            <w:rStyle w:val="Hyperlink"/>
            <w:rFonts w:ascii="Arial" w:hAnsi="Arial" w:cs="Arial"/>
            <w:sz w:val="20"/>
            <w:szCs w:val="20"/>
          </w:rPr>
          <w:t>Patrycja.Nowak-Sliwinska@unige.ch</w:t>
        </w:r>
      </w:hyperlink>
    </w:p>
    <w:p w:rsidR="00C436DF" w:rsidRDefault="00C436DF" w:rsidP="00945FA0">
      <w:pPr>
        <w:spacing w:line="480" w:lineRule="auto"/>
        <w:rPr>
          <w:rFonts w:ascii="Arial" w:hAnsi="Arial" w:cs="Arial"/>
          <w:b/>
          <w:sz w:val="20"/>
          <w:szCs w:val="20"/>
        </w:rPr>
      </w:pPr>
    </w:p>
    <w:p w:rsidR="00C436DF" w:rsidRDefault="00C436DF" w:rsidP="00945FA0">
      <w:pPr>
        <w:spacing w:line="480" w:lineRule="auto"/>
        <w:rPr>
          <w:rFonts w:ascii="Arial" w:hAnsi="Arial" w:cs="Arial"/>
          <w:b/>
          <w:sz w:val="20"/>
          <w:szCs w:val="20"/>
        </w:rPr>
      </w:pPr>
    </w:p>
    <w:p w:rsidR="00C436DF" w:rsidRPr="005A5766" w:rsidRDefault="00C436DF" w:rsidP="00945FA0">
      <w:pPr>
        <w:spacing w:line="480" w:lineRule="auto"/>
        <w:rPr>
          <w:rFonts w:ascii="Arial" w:hAnsi="Arial" w:cs="Arial"/>
          <w:b/>
          <w:sz w:val="20"/>
          <w:szCs w:val="20"/>
        </w:rPr>
      </w:pPr>
    </w:p>
    <w:p w:rsidR="00EE40F5" w:rsidRPr="005A5766" w:rsidRDefault="00EE40F5" w:rsidP="00945FA0">
      <w:pPr>
        <w:spacing w:line="480" w:lineRule="auto"/>
        <w:rPr>
          <w:rFonts w:ascii="Arial" w:hAnsi="Arial" w:cs="Arial"/>
          <w:b/>
          <w:sz w:val="20"/>
          <w:szCs w:val="20"/>
          <w:lang w:eastAsia="zh-CN"/>
        </w:rPr>
      </w:pPr>
      <w:r w:rsidRPr="005A5766">
        <w:rPr>
          <w:rFonts w:ascii="Arial" w:hAnsi="Arial" w:cs="Arial"/>
          <w:b/>
          <w:sz w:val="20"/>
          <w:szCs w:val="20"/>
          <w:lang w:eastAsia="zh-CN"/>
        </w:rPr>
        <w:lastRenderedPageBreak/>
        <w:t>Contents</w:t>
      </w:r>
    </w:p>
    <w:p w:rsidR="00EE40F5" w:rsidRPr="005A5766" w:rsidRDefault="00EE40F5" w:rsidP="00945FA0">
      <w:pPr>
        <w:spacing w:after="0" w:line="480" w:lineRule="auto"/>
        <w:rPr>
          <w:rFonts w:ascii="Arial" w:hAnsi="Arial" w:cs="Arial"/>
          <w:b/>
          <w:sz w:val="20"/>
          <w:szCs w:val="20"/>
        </w:rPr>
      </w:pPr>
      <w:r w:rsidRPr="005A5766">
        <w:rPr>
          <w:rFonts w:ascii="Arial" w:hAnsi="Arial" w:cs="Arial"/>
          <w:b/>
          <w:sz w:val="20"/>
          <w:szCs w:val="20"/>
        </w:rPr>
        <w:t xml:space="preserve">Supplementary </w:t>
      </w:r>
      <w:r w:rsidR="0050336D">
        <w:rPr>
          <w:rFonts w:ascii="Arial" w:hAnsi="Arial" w:cs="Arial"/>
          <w:b/>
          <w:sz w:val="20"/>
          <w:szCs w:val="20"/>
        </w:rPr>
        <w:t>Methods</w:t>
      </w:r>
    </w:p>
    <w:p w:rsidR="00EE40F5" w:rsidRPr="005A5766" w:rsidRDefault="00EE40F5" w:rsidP="00945FA0">
      <w:pPr>
        <w:spacing w:after="0" w:line="480" w:lineRule="auto"/>
        <w:rPr>
          <w:rFonts w:ascii="Arial" w:hAnsi="Arial" w:cs="Arial"/>
          <w:b/>
          <w:sz w:val="20"/>
          <w:szCs w:val="20"/>
          <w:lang w:eastAsia="zh-CN"/>
        </w:rPr>
      </w:pPr>
      <w:r w:rsidRPr="005A5766">
        <w:rPr>
          <w:rFonts w:ascii="Arial" w:hAnsi="Arial" w:cs="Arial"/>
          <w:b/>
          <w:sz w:val="20"/>
          <w:szCs w:val="20"/>
        </w:rPr>
        <w:t>Supplementary</w:t>
      </w:r>
      <w:r w:rsidRPr="005A5766">
        <w:rPr>
          <w:rFonts w:ascii="Arial" w:hAnsi="Arial" w:cs="Arial"/>
          <w:b/>
          <w:sz w:val="20"/>
          <w:szCs w:val="20"/>
          <w:lang w:eastAsia="zh-CN"/>
        </w:rPr>
        <w:t xml:space="preserve"> Figure</w:t>
      </w:r>
      <w:r w:rsidR="00030F02">
        <w:rPr>
          <w:rFonts w:ascii="Arial" w:hAnsi="Arial" w:cs="Arial"/>
          <w:b/>
          <w:sz w:val="20"/>
          <w:szCs w:val="20"/>
          <w:lang w:eastAsia="zh-CN"/>
        </w:rPr>
        <w:t xml:space="preserve"> legends</w:t>
      </w:r>
    </w:p>
    <w:p w:rsidR="00EE40F5" w:rsidRPr="005A5766" w:rsidRDefault="00EE40F5" w:rsidP="00945FA0">
      <w:pPr>
        <w:spacing w:after="0" w:line="480" w:lineRule="auto"/>
        <w:rPr>
          <w:rFonts w:ascii="Arial" w:hAnsi="Arial" w:cs="Arial"/>
          <w:b/>
          <w:sz w:val="20"/>
          <w:szCs w:val="20"/>
          <w:lang w:eastAsia="zh-CN"/>
        </w:rPr>
      </w:pPr>
      <w:r w:rsidRPr="005A5766">
        <w:rPr>
          <w:rFonts w:ascii="Arial" w:hAnsi="Arial" w:cs="Arial"/>
          <w:b/>
          <w:sz w:val="20"/>
          <w:szCs w:val="20"/>
        </w:rPr>
        <w:t>Supplementary</w:t>
      </w:r>
      <w:r w:rsidRPr="005A5766">
        <w:rPr>
          <w:rFonts w:ascii="Arial" w:hAnsi="Arial" w:cs="Arial"/>
          <w:b/>
          <w:sz w:val="20"/>
          <w:szCs w:val="20"/>
          <w:lang w:eastAsia="zh-CN"/>
        </w:rPr>
        <w:t xml:space="preserve"> Tables</w:t>
      </w:r>
      <w:r w:rsidR="0011011D">
        <w:rPr>
          <w:rFonts w:ascii="Arial" w:hAnsi="Arial" w:cs="Arial"/>
          <w:b/>
          <w:sz w:val="20"/>
          <w:szCs w:val="20"/>
          <w:lang w:eastAsia="zh-CN"/>
        </w:rPr>
        <w:t xml:space="preserve"> description</w:t>
      </w:r>
    </w:p>
    <w:p w:rsidR="00101C46" w:rsidRPr="005A5766" w:rsidRDefault="00101C46" w:rsidP="00945FA0">
      <w:pPr>
        <w:spacing w:after="0" w:line="480" w:lineRule="auto"/>
        <w:rPr>
          <w:rFonts w:ascii="Arial" w:hAnsi="Arial" w:cs="Arial"/>
          <w:b/>
          <w:sz w:val="20"/>
          <w:szCs w:val="20"/>
        </w:rPr>
      </w:pPr>
      <w:r w:rsidRPr="005A5766">
        <w:rPr>
          <w:rFonts w:ascii="Arial" w:hAnsi="Arial" w:cs="Arial"/>
          <w:b/>
          <w:sz w:val="20"/>
          <w:szCs w:val="20"/>
        </w:rPr>
        <w:t>Supplementary References</w:t>
      </w:r>
    </w:p>
    <w:p w:rsidR="00AD7288" w:rsidRPr="005A5766" w:rsidRDefault="00AD7288" w:rsidP="00945FA0">
      <w:pPr>
        <w:spacing w:after="0" w:line="480" w:lineRule="auto"/>
        <w:rPr>
          <w:rFonts w:ascii="Arial" w:hAnsi="Arial" w:cs="Arial"/>
          <w:b/>
          <w:sz w:val="20"/>
          <w:szCs w:val="20"/>
        </w:rPr>
      </w:pPr>
    </w:p>
    <w:p w:rsidR="008B18FD" w:rsidRPr="005A5766" w:rsidRDefault="00DA73E8" w:rsidP="00945FA0">
      <w:pPr>
        <w:spacing w:after="0" w:line="480" w:lineRule="auto"/>
        <w:rPr>
          <w:rFonts w:ascii="Arial" w:hAnsi="Arial" w:cs="Arial"/>
          <w:b/>
          <w:sz w:val="20"/>
          <w:szCs w:val="20"/>
        </w:rPr>
      </w:pPr>
      <w:r>
        <w:rPr>
          <w:rFonts w:ascii="Arial" w:hAnsi="Arial" w:cs="Arial"/>
          <w:b/>
          <w:sz w:val="20"/>
          <w:szCs w:val="20"/>
        </w:rPr>
        <w:t>Supplementary Methods</w:t>
      </w:r>
    </w:p>
    <w:p w:rsidR="00EF45AA" w:rsidRPr="00D27023" w:rsidRDefault="00EF45AA" w:rsidP="00945FA0">
      <w:pPr>
        <w:pStyle w:val="Kop3"/>
        <w:shd w:val="clear" w:color="auto" w:fill="FFFFFF"/>
        <w:spacing w:before="0" w:beforeAutospacing="0" w:after="60" w:afterAutospacing="0" w:line="480" w:lineRule="auto"/>
        <w:rPr>
          <w:rFonts w:ascii="Arial" w:hAnsi="Arial" w:cs="Arial"/>
          <w:b w:val="0"/>
          <w:i/>
          <w:color w:val="222222"/>
          <w:sz w:val="20"/>
          <w:szCs w:val="20"/>
          <w:lang w:val="en-GB"/>
        </w:rPr>
      </w:pPr>
    </w:p>
    <w:p w:rsidR="00EF45AA" w:rsidRPr="00065AD3" w:rsidRDefault="00EF45AA" w:rsidP="00945FA0">
      <w:pPr>
        <w:pStyle w:val="Kop3"/>
        <w:shd w:val="clear" w:color="auto" w:fill="FFFFFF"/>
        <w:spacing w:before="0" w:beforeAutospacing="0" w:after="60" w:afterAutospacing="0" w:line="480" w:lineRule="auto"/>
        <w:rPr>
          <w:rFonts w:ascii="Arial" w:hAnsi="Arial" w:cs="Arial"/>
          <w:b w:val="0"/>
          <w:color w:val="222222"/>
          <w:sz w:val="20"/>
          <w:szCs w:val="20"/>
        </w:rPr>
      </w:pPr>
      <w:r w:rsidRPr="00E84D95">
        <w:rPr>
          <w:rFonts w:ascii="Arial" w:hAnsi="Arial" w:cs="Arial"/>
          <w:b w:val="0"/>
          <w:i/>
          <w:color w:val="222222"/>
          <w:sz w:val="20"/>
          <w:szCs w:val="20"/>
        </w:rPr>
        <w:t>Drug acquisition</w:t>
      </w:r>
      <w:r>
        <w:rPr>
          <w:rFonts w:ascii="Arial" w:hAnsi="Arial" w:cs="Arial"/>
          <w:b w:val="0"/>
          <w:i/>
          <w:color w:val="222222"/>
          <w:sz w:val="20"/>
          <w:szCs w:val="20"/>
        </w:rPr>
        <w:t xml:space="preserve"> </w:t>
      </w:r>
    </w:p>
    <w:p w:rsidR="00EF45AA" w:rsidRDefault="00EF45AA" w:rsidP="00945FA0">
      <w:pPr>
        <w:pStyle w:val="Normaalweb"/>
        <w:shd w:val="clear" w:color="auto" w:fill="FFFFFF"/>
        <w:spacing w:before="0" w:beforeAutospacing="0" w:after="420" w:afterAutospacing="0" w:line="480" w:lineRule="auto"/>
        <w:ind w:firstLine="720"/>
        <w:rPr>
          <w:rFonts w:ascii="Arial" w:hAnsi="Arial" w:cs="Arial"/>
          <w:color w:val="222222"/>
        </w:rPr>
      </w:pPr>
      <w:r>
        <w:rPr>
          <w:rFonts w:ascii="Arial" w:hAnsi="Arial" w:cs="Arial"/>
          <w:color w:val="222222"/>
        </w:rPr>
        <w:t xml:space="preserve">Ten initial drugs were selected for inclusion in the experimental steps of s-FSC that cover a broad spectrum of pathways involved in RCC development.  Axitinib (targeting </w:t>
      </w:r>
      <w:r>
        <w:rPr>
          <w:rFonts w:ascii="Arial" w:hAnsi="Arial" w:cs="Arial"/>
        </w:rPr>
        <w:t>VEGFRs, PDGFRs and c-KIT)</w:t>
      </w:r>
      <w:r>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"10.4137/CMO.S10594", "ISSN" : "1179-5549", "author" : [ { "dropping-particle" : "", "family" : "Gross-Goupil", "given" : "Marine", "non-dropping-particle" : "", "parse-names" : false, "suffix" : "" }, { "dropping-particle" : "", "family" : "Fran\u00e7lois", "given" : "Louis", "non-dropping-particle" : "", "parse-names" : false, "suffix" : "" }, { "dropping-particle" : "", "family" : "Quivy", "given" : "Amandine", "non-dropping-particle" : "", "parse-names" : false, "suffix" : "" }, { "dropping-particle" : "", "family" : "Ravaud", "given" : "Alain", "non-dropping-particle" : "", "parse-names" : false, "suffix" : "" } ], "container-title" : "Clinical Medicine Insights: Oncology", "id" : "ITEM-1", "issued" : { "date-parts" : [ [ "2013", "1", "29" ] ] }, "page" : "CMO.S10594", "title" : "Axitinib: A Review of its Safety and Efficacy in the Treatment of Adults with Advanced Renal Cell Carcinoma", "type" : "article-journal", "volume" : "7" }, "uris" : [ "http://www.mendeley.com/documents/?uuid=e75746a6-bbaf-3e62-b0e4-7ae08d90fd3f" ] } ], "mendeley" : { "formattedCitation" : "[1]", "plainTextFormattedCitation" : "[1]", "previouslyFormattedCitation" : "[1]"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[1]</w:t>
      </w:r>
      <w:r w:rsidR="00D27023">
        <w:rPr>
          <w:rFonts w:ascii="Arial" w:hAnsi="Arial" w:cs="Arial"/>
          <w:color w:val="222222"/>
        </w:rPr>
        <w:fldChar w:fldCharType="end"/>
      </w:r>
      <w:r w:rsidR="00D27023">
        <w:rPr>
          <w:rFonts w:ascii="Arial" w:hAnsi="Arial" w:cs="Arial"/>
          <w:color w:val="222222"/>
        </w:rPr>
        <w:t xml:space="preserve"> </w:t>
      </w:r>
      <w:r>
        <w:rPr>
          <w:rFonts w:ascii="Arial" w:hAnsi="Arial" w:cs="Arial"/>
          <w:color w:val="222222"/>
        </w:rPr>
        <w:t xml:space="preserve">and erlotinib (targeting </w:t>
      </w:r>
      <w:r>
        <w:rPr>
          <w:rFonts w:ascii="Arial" w:hAnsi="Arial" w:cs="Arial"/>
        </w:rPr>
        <w:t>EGFR)</w:t>
      </w:r>
      <w:r w:rsidR="00D27023">
        <w:rPr>
          <w:rFonts w:ascii="Arial" w:hAnsi="Arial" w:cs="Arial"/>
        </w:rPr>
        <w:t xml:space="preserve"> </w:t>
      </w:r>
      <w:r w:rsidR="00D27023">
        <w:rPr>
          <w:rFonts w:ascii="Arial" w:hAnsi="Arial" w:cs="Arial"/>
        </w:rPr>
        <w:fldChar w:fldCharType="begin" w:fldLock="1"/>
      </w:r>
      <w:r w:rsidR="00452C63">
        <w:rPr>
          <w:rFonts w:ascii="Arial" w:hAnsi="Arial" w:cs="Arial"/>
        </w:rPr>
        <w:instrText>ADDIN CSL_CITATION { "citationItems" : [ { "id" : "ITEM-1", "itemData" : { "DOI" : "10.1200/JCO.2007.11.5154", "ISSN" : "1527-7755", "PMID" : "17876014", "abstract" : "PURPOSE Bevacizumab (Bev) has clinical activity in advanced renal cell carcinoma (RCC), and, when combined with erlotinib (Erl), has shown encouraging objective response rate (ORR) and progression-free survival (PFS). We performed a phase II, randomized, double-blind, multicenter, placebo-controlled trial to assess whether Erl provides additional clinical benefit with regard to PFS and ORR when combined with Bev in first-line treatment of metastatic RCC. PATIENTS AND METHODS One hundred four patients received intravenous Bev (10 mg/kg) every 2 weeks in combination with oral Erl (150 mg) or placebo daily. Patients were treated until progression or toxicity. RESULTS A landmark analysis was performed 9 months after enrollment was completed (median follow-up, 9.8 months). Sixty-five patients had discontinued therapy; time to study discontinuation did not differ between the two treatment groups. The median PFS was 9.9 months (Bev + Erl [B+E]) versus 8.5 months (Bev; hazard ratio = 0.86; 95% CI, 0.5 to 1.49; P = .58). ORR (complete plus partial) was 14% (B+E) versus 13% (Bev). One complete response occurred in the B+E group. Median survival was 20 months for B+E but not reached for Bev. The most common grade 3/4 adverse events (&gt; 5% of patients) were hypertension, rash, proteinuria, diarrhea, and hemorrhage. One treatment-related death occurred on study (GI perforation, B+E group). CONCLUSION The addition of Erl to Bev was well tolerated, but did not provide additional clinical benefit compared with Bev alone. Bev has encouraging clinical activity for previously untreated metastatic RCC patients.", "author" : [ { "dropping-particle" : "", "family" : "Bukowski", "given" : "Ronald M", "non-dropping-particle" : "", "parse-names" : false, "suffix" : "" }, { "dropping-particle" : "", "family" : "Kabbinavar", "given" : "Fairooz F", "non-dropping-particle" : "", "parse-names" : false, "suffix" : "" }, { "dropping-particle" : "", "family" : "Figlin", "given" : "Robert A", "non-dropping-particle" : "", "parse-names" : false, "suffix" : "" }, { "dropping-particle" : "", "family" : "Flaherty", "given" : "Keith", "non-dropping-particle" : "", "parse-names" : false, "suffix" : "" }, { "dropping-particle" : "", "family" : "Srinivas", "given" : "Sandy", "non-dropping-particle" : "", "parse-names" : false, "suffix" : "" }, { "dropping-particle" : "", "family" : "Vaishampayan", "given" : "Ulka", "non-dropping-particle" : "", "parse-names" : false, "suffix" : "" }, { "dropping-particle" : "", "family" : "Drabkin", "given" : "Harry A", "non-dropping-particle" : "", "parse-names" : false, "suffix" : "" }, { "dropping-particle" : "", "family" : "Dutcher", "given" : "Janice", "non-dropping-particle" : "", "parse-names" : false, "suffix" : "" }, { "dropping-particle" : "", "family" : "Ryba", "given" : "Sarah", "non-dropping-particle" : "", "parse-names" : false, "suffix" : "" }, { "dropping-particle" : "", "family" : "Xia", "given" : "Qi", "non-dropping-particle" : "", "parse-names" : false, "suffix" : "" }, { "dropping-particle" : "", "family" : "Scappaticci", "given" : "Frank A", "non-dropping-particle" : "", "parse-names" : false, "suffix" : "" }, { "dropping-particle" : "", "family" : "McDermott", "given" : "David", "non-dropping-particle" : "", "parse-names" : false, "suffix" : "" } ], "container-title" : "Journal of clinical oncology : official journal of the American Society of Clinical Oncology", "id" : "ITEM-1", "issue" : "29", "issued" : { "date-parts" : [ [ "2007", "10", "10" ] ] }, "page" : "4536-41", "title" : "Randomized phase II study of erlotinib combined with bevacizumab compared with bevacizumab alone in metastatic renal cell cancer.", "type" : "article-journal", "volume" : "25" }, "uris" : [ "http://www.mendeley.com/documents/?uuid=39543986-33f3-39ad-9b6e-f76924c75f86" ] } ], "mendeley" : { "formattedCitation" : "[2]", "plainTextFormattedCitation" : "[2]", "previouslyFormattedCitation" : "[2]" }, "properties" : { "noteIndex" : 0 }, "schema" : "https://github.com/citation-style-language/schema/raw/master/csl-citation.json" }</w:instrText>
      </w:r>
      <w:r w:rsidR="00D27023">
        <w:rPr>
          <w:rFonts w:ascii="Arial" w:hAnsi="Arial" w:cs="Arial"/>
        </w:rPr>
        <w:fldChar w:fldCharType="separate"/>
      </w:r>
      <w:r w:rsidR="00452C63" w:rsidRPr="00452C63">
        <w:rPr>
          <w:rFonts w:ascii="Arial" w:hAnsi="Arial" w:cs="Arial"/>
          <w:noProof/>
        </w:rPr>
        <w:t>[2]</w:t>
      </w:r>
      <w:r w:rsidR="00D27023">
        <w:rPr>
          <w:rFonts w:ascii="Arial" w:hAnsi="Arial" w:cs="Arial"/>
        </w:rPr>
        <w:fldChar w:fldCharType="end"/>
      </w:r>
      <w:r w:rsidR="00D27023">
        <w:rPr>
          <w:rFonts w:ascii="Arial" w:hAnsi="Arial" w:cs="Arial"/>
        </w:rPr>
        <w:t xml:space="preserve"> </w:t>
      </w:r>
      <w:r>
        <w:rPr>
          <w:rFonts w:ascii="Arial" w:hAnsi="Arial" w:cs="Arial"/>
          <w:color w:val="222222"/>
        </w:rPr>
        <w:t>were purchased from LC laboratories (Woburn, MA, USA). RAPTA-C was synthesized and purified as described previously</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"10.1021/jm2002074", "ISSN" : "1520-4804", "PMID" : "21534534", "abstract" : "The antimetastatic ruthenium(II) compounds [Ru(\u03b7(6)-p-cymene)Cl(2)(PTA)] (PTA = 1,3,5-triaza-7-phosphaadamantane) (RAPTA-C) and [Ru(\u03b7(6)-toluene)Cl(2)(PTA)] (RAPTA-T), as well as their analogues [Ru(\u03b7(6)-p-cymene)Cl(2)(DAPTA)] (DAPTA = (3,7-diacetyl-1,3,7-triaza-5-phosphabicyclo[3.3.1]nonane)) (DAPTA-C) and [Ru(\u03b7(6)-toluene)Cl(2)(DAPTA)] (DAPTA-T), respectively, were tested in in vitro bioassays for endothelial cell function. All compounds showed low toxicity profiles and similar dose-dependent antiproliferative effects in endothelial cells at \u2265100 \u03bcg/mL (\u223c200 \u03bcM). EC migration, measured 6 h after drug exposure, was also efficiently inhibited (ED(50) of \u223c300 \u03bcg/mL, \u223c500 \u03bcM, for all compounds). Since no cytostatic effect was noted, the inhibition of proliferation was considered mainly to consist of antiangiogenic activity. RAPTA-T and DAPTA-C were also tested in vivo in the chicken chorioallantoic membrane (CAM) assay and found to inhibit CAM development. Importantly, effective prevention of revascularization of the CAM after vaso-occlusive photodynamic therapy was observed. The reported ruthenium complexes show promising antimetastatic activity involving inhibition of angiogenesis and therefore are attractive agents for development of anticancer therapies based on combination of chemo- and angiostatic treatments.", "author" : [ { "dropping-particle" : "", "family" : "Nowak-Sliwinska", "given" : "Patrycja", "non-dropping-particle" : "", "parse-names" : false, "suffix" : "" }, { "dropping-particle" : "", "family" : "Beijnum", "given" : "Judy R", "non-dropping-particle" : "van", "parse-names" : false, "suffix" : "" }, { "dropping-particle" : "", "family" : "Casini", "given" : "Angela", "non-dropping-particle" : "", "parse-names" : false, "suffix" : "" }, { "dropping-particle" : "", "family" : "Nazarov", "given" : "Alexey A", "non-dropping-particle" : "", "parse-names" : false, "suffix" : "" }, { "dropping-particle" : "", "family" : "Wagnieres", "given" : "Georges", "non-dropping-particle" : "", "parse-names" : false, "suffix" : "" }, { "dropping-particle" : "", "family" : "Bergh", "given" : "Hubert", "non-dropping-particle" : "van den", "parse-names" : false, "suffix" : "" }, { "dropping-particle" : "", "family" : "Dyson", "given" : "Paul J", "non-dropping-particle" : "", "parse-names" : false, "suffix" : "" }, { "dropping-particle" : "", "family" : "Griffioen", "given" : "Arjan W", "non-dropping-particle" : "", "parse-names" : false, "suffix" : "" } ], "container-title" : "Journal of medicinal chemistry", "id" : "ITEM-1", "issue" : "11", "issued" : { "date-parts" : [ [ "2011", "6", "9" ] ] }, "page" : "3895-902", "title" : "Organometallic ruthenium(II) arene compounds with antiangiogenic activity.", "type" : "article-journal", "volume" : "54" }, "uris" : [ "http://www.mendeley.com/documents/?uuid=eb50b7e8-f2ed-323a-a9f5-c3622cbdf836" ] } ], "mendeley" : { "formattedCitation" : "[3]", "plainTextFormattedCitation" : "[3]", "previouslyFormattedCitation" : "[3]"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[3]</w:t>
      </w:r>
      <w:r w:rsidR="00D27023">
        <w:rPr>
          <w:rFonts w:ascii="Arial" w:hAnsi="Arial" w:cs="Arial"/>
          <w:color w:val="222222"/>
        </w:rPr>
        <w:fldChar w:fldCharType="end"/>
      </w:r>
      <w:r>
        <w:rPr>
          <w:rFonts w:ascii="Times New Roman" w:hAnsi="Times New Roman"/>
          <w:sz w:val="24"/>
          <w:szCs w:val="24"/>
          <w:highlight w:val="yellow"/>
        </w:rPr>
        <w:fldChar w:fldCharType="begin"/>
      </w:r>
      <w:r>
        <w:rPr>
          <w:rFonts w:ascii="Times New Roman" w:hAnsi="Times New Roman"/>
          <w:sz w:val="24"/>
          <w:szCs w:val="24"/>
          <w:highlight w:val="yellow"/>
        </w:rPr>
        <w:fldChar w:fldCharType="separate"/>
      </w:r>
      <w:r>
        <w:rPr>
          <w:rStyle w:val="Hyperlink"/>
          <w:rFonts w:ascii="Arial" w:hAnsi="Arial" w:cs="Arial"/>
          <w:color w:val="006699"/>
          <w:highlight w:val="yellow"/>
        </w:rPr>
        <w:t>48</w:t>
      </w:r>
      <w:r>
        <w:rPr>
          <w:rStyle w:val="Hyperlink"/>
          <w:rFonts w:ascii="Arial" w:hAnsi="Arial" w:cs="Arial"/>
          <w:color w:val="006699"/>
          <w:highlight w:val="yellow"/>
        </w:rPr>
        <w:fldChar w:fldCharType="end"/>
      </w:r>
      <w:r>
        <w:rPr>
          <w:rFonts w:ascii="Arial" w:hAnsi="Arial" w:cs="Arial"/>
          <w:color w:val="222222"/>
        </w:rPr>
        <w:t>.</w:t>
      </w:r>
      <w:r w:rsidR="006B6EFF">
        <w:rPr>
          <w:rFonts w:ascii="Arial" w:hAnsi="Arial" w:cs="Arial"/>
          <w:color w:val="222222"/>
        </w:rPr>
        <w:t xml:space="preserve"> </w:t>
      </w:r>
      <w:r>
        <w:rPr>
          <w:rFonts w:ascii="Arial" w:hAnsi="Arial" w:cs="Arial"/>
          <w:color w:val="222222"/>
        </w:rPr>
        <w:t>BEZ-235  (targeting mTORC1 and mTORC2)</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"10.1158/1078-0432.CCR-09-3022", "ISSN" : "15573265", "abstract" : "Purpose: Inhibitors of TORC1 have been shown to be active in patients with metastatic renal cell carcinoma (RCC). As the phosphatidylinositol 3-kinase (PI3K) pathway activates numerous other kinases, transcription factors, and proteins associated with cell growth and survival besides mammalian target of rapamycin (mTOR), disruption of this pathway upstream of mTOR may be more effective than inhibition of TORC1 alone. Experimental Design: To investigate this possibility, the dual PI3K/mTOR inhibitor NVP-BEZ235 was compared with rapamycin in RCC cell lines and xenografts generated from 786-O and A498 cells. Results: Treatment of RCC cell lines with NVP-BEZ235 in vitro resulted in the nuclear translocation of p27, greater reduction in tumor cell proliferation, and more complete suppression of Akt, Mnk-1, eIF4E, and 4EBP-1 phosphorylation and cyclin D1 and hypoxia-inducible factor 2\u03b1 (HIF2\u03b1) expression than that achieved with rapamycin. The reduction of HIF2\u03b1 levels correlated with reduced HIF activity as determined by luciferase assay. NVP-BEZ235 induced growth arrest in both the 786-O and A498 xenografts that was associated with inhibition of Akt and S6 phosphorylation as well as the induction of apoptosis and reduction in markers of tumor cell proliferation. In contrast, rapamycin induced only minimal growth retardation. Conclusion: Dual inhibition of PI3K/mTOR with NVP-BEZ235 induced growth arrest in RCC cell lines both in vitro and in vivo more effectively than inhibition of TORC1 alone. These results provide the rationale for the clinical assessment of agents such as NVP-BEZ235 in patients with advanced RCC. \u00a92010 AACR.", "author" : [ { "dropping-particle" : "", "family" : "Cho", "given" : "Daniel C.", "non-dropping-particle" : "", "parse-names" : false, "suffix" : "" }, { "dropping-particle" : "", "family" : "Cohen", "given" : "Matthew B.", "non-dropping-particle" : "", "parse-names" : false, "suffix" : "" }, { "dropping-particle" : "", "family" : "Panka", "given" : "David J.", "non-dropping-particle" : "", "parse-names" : false, "suffix" : "" }, { "dropping-particle" : "", "family" : "Collins", "given" : "Michael", "non-dropping-particle" : "", "parse-names" : false, "suffix" : "" }, { "dropping-particle" : "", "family" : "Ghebremichael", "given" : "Musie", "non-dropping-particle" : "", "parse-names" : false, "suffix" : "" }, { "dropping-particle" : "", "family" : "Atkins", "given" : "Michael B.", "non-dropping-particle" : "", "parse-names" : false, "suffix" : "" }, { "dropping-particle" : "", "family" : "Signoretti", "given" : "Sabina", "non-dropping-particle" : "", "parse-names" : false, "suffix" : "" }, { "dropping-particle" : "", "family" : "Mier", "given" : "James W.", "non-dropping-particle" : "", "parse-names" : false, "suffix" : "" } ], "container-title" : "Clinical Cancer Research", "id" : "ITEM-1", "issue" : "14", "issued" : { "date-parts" : [ [ "2010", "7", "15" ] ] }, "page" : "3628-3638", "publisher" : "American Association for Cancer Research Inc.", "title" : "The efficacy of the novel dual PI3-kinase/mTOR inhibitor NVP-BEZ235 compared with rapamycin in renal cell carcinoma", "type" : "article-journal", "volume" : "16" }, "uris" : [ "http://www.mendeley.com/documents/?uuid=ca859a4b-8226-3612-a607-580c582f3580" ] } ], "mendeley" : { "formattedCitation" : "[4]", "plainTextFormattedCitation" : "[4]", "previouslyFormattedCitation" : "[4]"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[4]</w:t>
      </w:r>
      <w:r w:rsidR="00D27023">
        <w:rPr>
          <w:rFonts w:ascii="Arial" w:hAnsi="Arial" w:cs="Arial"/>
          <w:color w:val="222222"/>
        </w:rPr>
        <w:fldChar w:fldCharType="end"/>
      </w:r>
      <w:r>
        <w:rPr>
          <w:rFonts w:ascii="Arial" w:hAnsi="Arial" w:cs="Arial"/>
          <w:color w:val="222222"/>
        </w:rPr>
        <w:t xml:space="preserve"> was purchased from </w:t>
      </w:r>
      <w:proofErr w:type="spellStart"/>
      <w:r>
        <w:rPr>
          <w:rFonts w:ascii="Arial" w:hAnsi="Arial" w:cs="Arial"/>
          <w:color w:val="222222"/>
        </w:rPr>
        <w:t>Chemdea</w:t>
      </w:r>
      <w:proofErr w:type="spellEnd"/>
      <w:r>
        <w:rPr>
          <w:rFonts w:ascii="Arial" w:hAnsi="Arial" w:cs="Arial"/>
          <w:color w:val="222222"/>
        </w:rPr>
        <w:t xml:space="preserve"> LLC (Ridgewood, USA). Volasertib (targeting polo-like kinase)</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"10.1016/j.ejca.2011.11.001", "ISSN" : "09598049", "abstract" : "Background: Volasertib (BI 6727) is a potent and selective cell-cycle kinase inhibitor that induces mitotic arrest and apoptosis by targeting Polo-like kinase (Plk). This phase I dose-escalation study evaluated the maximum tolerated dose (MTD) of volasertib, safety and efficacy, and pharmacokinetic (PK) parameters. Methods: This trial followed an open-label, toxicity-guided dose-titration design. Patients with progressive advanced or metastatic solid tumours received a single 1-h infusion of volasertib every 3 weeks. A total of 65 patients were treated at doses of 12-450 mg. Results: Reversible haematological toxicity was the main side-effect; thrombocytopenia, neutropenia, and febrile neutropenia constituting the main dose-limiting events. Anaemia (all grades 22%; grade 3: 8%), neutropenia (15%; grade 3/4: 14%), fatigue (15%; grade 3: 2%), and thrombocytopenia (14%; grade 3/4: 14%) were the most frequent drug-related adverse events. The MTD was 400 mg; however, 300 mg was the recommended dose for further development based on overall tolerability. Three patients achieved confirmed partial response. Stable disease as best response was reported in 40% of patients. Two patients remained progression free for &gt;1 year. PK analysis showed no indication of deviation from 'dose-linear PK' behaviour, a large volume of distribution (&gt;4000 l), moderate clearance and a long half-life (\u223c111 h). Conclusion: This first-in-man trial demonstrated a favourable PK profile of volasertib, with manageable toxicities. As expected, the most common events were haematological. Encouraging preliminary antitumour activity has been observed, supporting Plk inhibition as a therapeutic approach. Clinical development of volasertib in phase II monotherapy and combination trials is ongoing. \u00a9 2011 Elsevier Ltd. All rights reserved.", "author" : [ { "dropping-particle" : "", "family" : "Sch\u00f6ffski", "given" : "Patrick", "non-dropping-particle" : "", "parse-names" : false, "suffix" : "" }, { "dropping-particle" : "", "family" : "Awada", "given" : "Ahmad", "non-dropping-particle" : "", "parse-names" : false, "suffix" : "" }, { "dropping-particle" : "", "family" : "Dumez", "given" : "Herlinde", "non-dropping-particle" : "", "parse-names" : false, "suffix" : "" }, { "dropping-particle" : "", "family" : "Gil", "given" : "Thierry", "non-dropping-particle" : "", "parse-names" : false, "suffix" : "" }, { "dropping-particle" : "", "family" : "Bartholomeus", "given" : "Sylvie", "non-dropping-particle" : "", "parse-names" : false, "suffix" : "" }, { "dropping-particle" : "", "family" : "Wolter", "given" : "Pascal", "non-dropping-particle" : "", "parse-names" : false, "suffix" : "" }, { "dropping-particle" : "", "family" : "Taton", "given" : "Martine", "non-dropping-particle" : "", "parse-names" : false, "suffix" : "" }, { "dropping-particle" : "", "family" : "Fritsch", "given" : "Holger", "non-dropping-particle" : "", "parse-names" : false, "suffix" : "" }, { "dropping-particle" : "", "family" : "Glomb", "given" : "Patricia", "non-dropping-particle" : "", "parse-names" : false, "suffix" : "" }, { "dropping-particle" : "", "family" : "Munzert", "given" : "Gerd", "non-dropping-particle" : "", "parse-names" : false, "suffix" : "" } ], "container-title" : "European Journal of Cancer", "id" : "ITEM-1", "issue" : "2", "issued" : { "date-parts" : [ [ "2012", "1" ] ] }, "page" : "179-186", "title" : "A phase I, dose-escalation study of the novel Polo-like kinase inhibitor volasertib (BI 6727) in patients with advanced solid tumours", "type" : "article-journal", "volume" : "48" }, "uris" : [ "http://www.mendeley.com/documents/?uuid=1cbd11e9-2c3f-3ad2-9ae7-b72a2a77f3dd" ] } ], "mendeley" : { "formattedCitation" : "[5]", "plainTextFormattedCitation" : "[5]", "previouslyFormattedCitation" : "[5]"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[5]</w:t>
      </w:r>
      <w:r w:rsidR="00D27023">
        <w:rPr>
          <w:rFonts w:ascii="Arial" w:hAnsi="Arial" w:cs="Arial"/>
          <w:color w:val="222222"/>
        </w:rPr>
        <w:fldChar w:fldCharType="end"/>
      </w:r>
      <w:r>
        <w:rPr>
          <w:rFonts w:ascii="Arial" w:hAnsi="Arial" w:cs="Arial"/>
          <w:color w:val="222222"/>
        </w:rPr>
        <w:t xml:space="preserve">, </w:t>
      </w:r>
      <w:proofErr w:type="spellStart"/>
      <w:r>
        <w:rPr>
          <w:rFonts w:ascii="Arial" w:hAnsi="Arial" w:cs="Arial"/>
          <w:color w:val="222222"/>
        </w:rPr>
        <w:t>tozasertib</w:t>
      </w:r>
      <w:proofErr w:type="spellEnd"/>
      <w:r>
        <w:rPr>
          <w:rFonts w:ascii="Arial" w:hAnsi="Arial" w:cs="Arial"/>
          <w:color w:val="222222"/>
        </w:rPr>
        <w:t xml:space="preserve"> (targeting Aurora A, B and C)</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"ISSN" : "1943-8141", "PMID" : "20589168", "abstract" : "Aurora kinases are key regulators of cell mitosis and have been implicated in the process of tumorigenesis. In recent years, the Aurora kinases have attracted much interest as promising targets for cancer treatment. Here we report on the roles of Aurora A and Aurora B kinases in clear cell renal cell carcinoma (ccRCC). Using genomewide expression array analysis of 174 patient samples of ccRCC, we found that expression levels of Aurora A and B were significantly elevated in ccRCC compared to normal kidney samples. High expression levels of Aurora A and Aurora B were significantly associated with advanced tumor stage and poor patient survival. Inhibition of Aurora kinase activity with the drug VX680 (also referred to as MK-0457) inhibited ccRCC cell growth in vitro and led to ccRCC cell accumulation in the G2/M phase and apoptosis. Growth of ccRCC xenograft tumors was also inhibited by VX680 treatment, accompanied by a reduction of tumor microvessel density. Analysis of endothelial cell lines demonstrated that VX680 inhibits endothelial cell growth with effects similar to that seen in ccRCC cells. Our findings suggest that VX680 inhibits the growth of ccRCC tumors by targeting the proliferation of both ccRCC tumor cells and tumor-associated endothelial cells. Aurora kinases and their downstream cell cycle proteins have an important role in ccRCC and may be potent prognostic markers and therapy targets for this disease.", "author" : [ { "dropping-particle" : "", "family" : "Li", "given" : "Yan", "non-dropping-particle" : "", "parse-names" : false, "suffix" : "" }, { "dropping-particle" : "", "family" : "Zhang", "given" : "Zhong-Fa", "non-dropping-particle" : "", "parse-names" : false, "suffix" : "" }, { "dropping-particle" : "", "family" : "Chen", "given" : "Jindong", "non-dropping-particle" : "", "parse-names" : false, "suffix" : "" }, { "dropping-particle" : "", "family" : "Huang", "given" : "Dan", "non-dropping-particle" : "", "parse-names" : false, "suffix" : "" }, { "dropping-particle" : "", "family" : "Ding", "given" : "Yan", "non-dropping-particle" : "", "parse-names" : false, "suffix" : "" }, { "dropping-particle" : "", "family" : "Tan", "given" : "Min-Han", "non-dropping-particle" : "", "parse-names" : false, "suffix" : "" }, { "dropping-particle" : "", "family" : "Qian", "given" : "Chao-Nan", "non-dropping-particle" : "", "parse-names" : false, "suffix" : "" }, { "dropping-particle" : "", "family" : "Resau", "given" : "James H", "non-dropping-particle" : "", "parse-names" : false, "suffix" : "" }, { "dropping-particle" : "", "family" : "Kim", "given" : "Hyung", "non-dropping-particle" : "", "parse-names" : false, "suffix" : "" }, { "dropping-particle" : "", "family" : "Teh", "given" : "Bin Tean", "non-dropping-particle" : "", "parse-names" : false, "suffix" : "" } ], "container-title" : "American journal of translational research", "id" : "ITEM-1", "issue" : "3", "issued" : { "date-parts" : [ [ "2010", "5", "20" ] ] }, "page" : "296-308", "title" : "VX680/MK-0457, a potent and selective Aurora kinase inhibitor, targets both tumor and endothelial cells in clear cell renal cell carcinoma.", "type" : "article-journal", "volume" : "2" }, "uris" : [ "http://www.mendeley.com/documents/?uuid=264100dd-0954-3fec-b1d7-8dc45e0c07ee" ] } ], "mendeley" : { "formattedCitation" : "[6]", "plainTextFormattedCitation" : "[6]", "previouslyFormattedCitation" : "[6]"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[6]</w:t>
      </w:r>
      <w:r w:rsidR="00D27023">
        <w:rPr>
          <w:rFonts w:ascii="Arial" w:hAnsi="Arial" w:cs="Arial"/>
          <w:color w:val="222222"/>
        </w:rPr>
        <w:fldChar w:fldCharType="end"/>
      </w:r>
      <w:r>
        <w:rPr>
          <w:rFonts w:ascii="Arial" w:hAnsi="Arial" w:cs="Arial"/>
          <w:color w:val="222222"/>
        </w:rPr>
        <w:t xml:space="preserve">, U-104 (targeting </w:t>
      </w:r>
      <w:proofErr w:type="spellStart"/>
      <w:r>
        <w:rPr>
          <w:rFonts w:ascii="Arial" w:hAnsi="Arial" w:cs="Arial"/>
          <w:color w:val="222222"/>
        </w:rPr>
        <w:t>carbonix</w:t>
      </w:r>
      <w:proofErr w:type="spellEnd"/>
      <w:r>
        <w:rPr>
          <w:rFonts w:ascii="Arial" w:hAnsi="Arial" w:cs="Arial"/>
          <w:color w:val="222222"/>
        </w:rPr>
        <w:t xml:space="preserve"> anhydrase IX and XII</w:t>
      </w:r>
      <w:r w:rsidR="00773F77">
        <w:rPr>
          <w:rFonts w:ascii="Arial" w:hAnsi="Arial" w:cs="Arial"/>
          <w:color w:val="222222"/>
        </w:rPr>
        <w:t>)</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"10.1016/j.eururo.2010.03.015", "ISSN" : "03022838", "abstract" : "Context: The clinical management of patients with renal cell carcinoma (RCC) remains difficult, and the development of new diagnostic, prognostic, and therapeutic tools is still required. Objective: To review the current knowledge on the RCC-associated antigen carbonic anhydrase IX (CAIX) and provide evidence for how this antigen may aid in the clinical management of RCC. Evidence acquisition: Clinical papers describing diagnostic, prognostic, and/or therapeutic applications of CAIX in RCC were selected from the Pubmed database. The search was manually augmented by reviewing the reference lists of articles. Evidence synthesis: Expression of CAIX is regulated by the Von Hippel Lindau (VHL) protein (pVHL). Because of the invariable VHL mutational loss in clear-cell RCC (ccRCC) patients, CAIX expression is ubiquitous in ccRCC. Determination of CAIX expression in nephrectomy specimens of RCC patients improves prognostic accuracy; high CAIX expression appears to correlate with a favourable prognosis and a greater likelihood of response to systemic treatment for metastatic disease. Therefore, CAIX expression might be used to stratify metastatic ccRCC (mRCC) patients for systemic treatment. When incorporated into the RCC nomogram, CAIX expression seems to improve diagnostic accuracy for primary RCC as well as mRCC patients, but further evidence is required. Clinical studies with the CAIX-specific monoclonal antibody (mAb) cG250 have provided unequivocal evidence that ccRCC lesions can be imaged with radiolabeled cG250. Results are awaited of a large, randomised trial that aims to establish the value of cG250 imaging for primary RCC. The outcome of another large, placebo-controlled study is awaited to establish the usefulness of CAIX-targeted therapy in the adjuvant setting. Therapeutic trials with high-dose radiolabeled cG250 and CAIX-loaded dendritic cells in mRCC patients are still in phase 1 or 2. Conclusions: CAIX improves diagnostic accuracy and is an attractive target for imaging of and therapy for ccRCC. \u00a9 2010 European Association of Urology.", "author" : [ { "dropping-particle" : "", "family" : "Stillebroer", "given" : "Alexander B.", "non-dropping-particle" : "", "parse-names" : false, "suffix" : "" }, { "dropping-particle" : "", "family" : "Mulders", "given" : "Peter F.A.", "non-dropping-particle" : "", "parse-names" : false, "suffix" : "" }, { "dropping-particle" : "", "family" : "Boerman", "given" : "Otto C.", "non-dropping-particle" : "", "parse-names" : false, "suffix" : "" }, { "dropping-particle" : "", "family" : "Oyen", "given" : "Wim J.G.", "non-dropping-particle" : "", "parse-names" : false, "suffix" : "" }, { "dropping-particle" : "", "family" : "Oosterwijk", "given" : "Egbert", "non-dropping-particle" : "", "parse-names" : false, "suffix" : "" } ], "container-title" : "European Urology", "id" : "ITEM-1", "issue" : "1", "issued" : { "date-parts" : [ [ "2010", "7" ] ] }, "page" : "75-83", "title" : "Carbonic Anhydrase IX in Renal Cell Carcinoma: Implications for Prognosis, Diagnosis, and Therapy", "type" : "article", "volume" : "58" }, "uris" : [ "http://www.mendeley.com/documents/?uuid=7779ea74-6433-3326-9c37-1e60e0f5c983" ] }, { "id" : "ITEM-2", "itemData" : { "DOI" : "10.1021/jm101541x", "ISSN" : "00222623", "abstract" : "A series of ureido-substituted benzenesulfonamides was prepared that showed a very interesting profile for the inhibition of several human carbonic anhydrases (hCAs, EC 4.2.1.1), such as hCAs I and II (cytosolic isoforms) and hCAs IX and XII (transmembrane, tumor-associated enzymes). Excellent inhibition of all these isoforms has been observed with various members of the series, depending on the substitution pattern of the urea moiety. Several low nanomolar CA IX/XII inhibitors also showing good selectivity for the transmembrane over the cytosolic isoforms have been discovered. One of them, 4-{[(3\u2032- nirophenyl)carbamoyl]amino}benzenesulfonamide, significantly inhibited the formation of metastases by the highly aggressive 4T1 mammary tumor cells at pharmacologic concentrations of 45 mg/kg, constituting an interesting candidate for the development of conceptually novel antimetastatic drugs. \u00a9 2011 American Chemical Society.", "author" : [ { "dropping-particle" : "", "family" : "Pacchiano", "given" : "Fabio", "non-dropping-particle" : "", "parse-names" : false, "suffix" : "" }, { "dropping-particle" : "", "family" : "Carta", "given" : "Fabrizio", "non-dropping-particle" : "", "parse-names" : false, "suffix" : "" }, { "dropping-particle" : "", "family" : "McDonald", "given" : "Paul C.", "non-dropping-particle" : "", "parse-names" : false, "suffix" : "" }, { "dropping-particle" : "", "family" : "Lou", "given" : "Yuanmei", "non-dropping-particle" : "", "parse-names" : false, "suffix" : "" }, { "dropping-particle" : "", "family" : "Vullo", "given" : "Daniela", "non-dropping-particle" : "", "parse-names" : false, "suffix" : "" }, { "dropping-particle" : "", "family" : "Scozzafava", "given" : "Andrea", "non-dropping-particle" : "", "parse-names" : false, "suffix" : "" }, { "dropping-particle" : "", "family" : "Dedhar", "given" : "Shoukat", "non-dropping-particle" : "", "parse-names" : false, "suffix" : "" }, { "dropping-particle" : "", "family" : "Supuran", "given" : "Claudiu T.", "non-dropping-particle" : "", "parse-names" : false, "suffix" : "" } ], "container-title" : "Journal of Medicinal Chemistry", "id" : "ITEM-2", "issue" : "6", "issued" : { "date-parts" : [ [ "2011", "3", "24" ] ] }, "page" : "1896-1902", "title" : "Ureido-substituted benzenesulfonamides potently inhibit carbonic anhydrase IX and show antimetastatic activity in a model of breast cancer metastasis", "type" : "article-journal", "volume" : "54" }, "uris" : [ "http://www.mendeley.com/documents/?uuid=4544b6a7-cc80-3745-ae7a-c6518eb13be5" ] } ], "mendeley" : { "formattedCitation" : "[7,8]", "plainTextFormattedCitation" : "[7,8]", "previouslyFormattedCitation" : "[7,8]"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[7,8]</w:t>
      </w:r>
      <w:r w:rsidR="00D27023">
        <w:rPr>
          <w:rFonts w:ascii="Arial" w:hAnsi="Arial" w:cs="Arial"/>
          <w:color w:val="222222"/>
        </w:rPr>
        <w:fldChar w:fldCharType="end"/>
      </w:r>
      <w:r>
        <w:rPr>
          <w:rFonts w:ascii="Arial" w:hAnsi="Arial" w:cs="Arial"/>
          <w:color w:val="222222"/>
        </w:rPr>
        <w:t>, AZD4547 (targeting FGFR1-3)</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"10.1158/1078-0432.CCR-12-2694", "ISSN" : "10780432", "abstract" : "Purpose: To investigate the incidence of FGFR1 amplification in Chinese non-small cell lung cancer (NSCLC) and to preclinically test the hypothesis that the novel, potent, and selective fibroblast growth factor receptor (FGFR) small-molecule inhibitor AZD4547 will deliver potent antitumor activity in NSCLC FGFR1-amplified patient-derived tumor xenograft (PDTX) models. Experimental Design: A range of assays was used to assess the translational relevance of FGFR1 amplification and AZD4547 treatment including in vitro lung cell line panel screening and pharmacodynamic (PD) analysis, FGFR1 FISH tissue microarray (TMA) analysis of Chinese NSCLC (n = 127), and, importantly, antitumor efficacy testing and PD analysis of lung PDTX models using AZD4547. Results: The incidence of FGFR1 amplification within Chinese patient NSCLC tumors was 12.5% of squamous origin (6 of 48) and 7% of adenocarcinoma (5 of 76). AZD4547 displayed a highly selective profile across a lung cell line panel, potently inhibiting cell growth only in those lines harboring amplified FGFR1 (GI50 = 0.003-0.111 \u03bcmol/L). AZD4547 induced potent tumor stasis or regressive effects in four of five FGFR1-amplified squamous NSCLC PDTX models. Pharmacodynamic modulation was observed in vivo, and antitumor efficacy correlated well with FGFR1 FISH score and protein expression level. Conclusions: This study provides novel epidemiologic data through identification of FGFR1 gene amplification in Chinese NSCLC specimens (particularly squamous) and, importantly, extends the clinical significance of this finding by using multiple FGFR1-amplified squamous lung cancer PDTX models to show tumor stasis or regression effects using a specific FGFR inhibitor (AZD4547). Thus, the translational science presented here provides a strong rationale for investigation of AZD4547 as a therapeutic option for patients with squamous NSCLC tumors harboring amplification of FGFR1. \u00a92012 AACR.", "author" : [ { "dropping-particle" : "", "family" : "Zhang", "given" : "Jingchuan", "non-dropping-particle" : "", "parse-names" : false, "suffix" : "" }, { "dropping-particle" : "", "family" : "Zhang", "given" : "Lin", "non-dropping-particle" : "", "parse-names" : false, "suffix" : "" }, { "dropping-particle" : "", "family" : "Su", "given" : "Xinying", "non-dropping-particle" : "", "parse-names" : false, "suffix" : "" }, { "dropping-particle" : "", "family" : "Li", "given" : "Ming", "non-dropping-particle" : "", "parse-names" : false, "suffix" : "" }, { "dropping-particle" : "", "family" : "Xie", "given" : "Liang", "non-dropping-particle" : "", "parse-names" : false, "suffix" : "" }, { "dropping-particle" : "", "family" : "Malchers", "given" : "Florian", "non-dropping-particle" : "", "parse-names" : false, "suffix" : "" }, { "dropping-particle" : "", "family" : "Fan", "given" : "Shu Qiong", "non-dropping-particle" : "", "parse-names" : false, "suffix" : "" }, { "dropping-particle" : "", "family" : "Yin", "given" : "Xiao Lu", "non-dropping-particle" : "", "parse-names" : false, "suffix" : "" }, { "dropping-particle" : "", "family" : "Xu", "given" : "Yan Ping", "non-dropping-particle" : "", "parse-names" : false, "suffix" : "" }, { "dropping-particle" : "", "family" : "Liu", "given" : "Kunji", "non-dropping-particle" : "", "parse-names" : false, "suffix" : "" }, { "dropping-particle" : "", "family" : "Dong", "given" : "Zhengwei", "non-dropping-particle" : "", "parse-names" : false, "suffix" : "" }, { "dropping-particle" : "", "family" : "Zhu", "given" : "Guanshan", "non-dropping-particle" : "", "parse-names" : false, "suffix" : "" }, { "dropping-particle" : "", "family" : "Qian", "given" : "Ziliang", "non-dropping-particle" : "", "parse-names" : false, "suffix" : "" }, { "dropping-particle" : "", "family" : "Tang", "given" : "Lili", "non-dropping-particle" : "", "parse-names" : false, "suffix" : "" }, { "dropping-particle" : "", "family" : "Zhan", "given" : "Ping", "non-dropping-particle" : "", "parse-names" : false, "suffix" : "" }, { "dropping-particle" : "", "family" : "Ji", "given" : "Qunsheng", "non-dropping-particle" : "", "parse-names" : false, "suffix" : "" }, { "dropping-particle" : "", "family" : "Kilgour", "given" : "Elaine", "non-dropping-particle" : "", "parse-names" : false, "suffix" : "" }, { "dropping-particle" : "", "family" : "Smith", "given" : "Paul D.", "non-dropping-particle" : "", "parse-names" : false, "suffix" : "" }, { "dropping-particle" : "", "family" : "Brooks", "given" : "A. Nigel", "non-dropping-particle" : "", "parse-names" : false, "suffix" : "" }, { "dropping-particle" : "", "family" : "Thomas", "given" : "Roman K.", "non-dropping-particle" : "", "parse-names" : false, "suffix" : "" }, { "dropping-particle" : "", "family" : "Gavine", "given" : "Paul R.", "non-dropping-particle" : "", "parse-names" : false, "suffix" : "" } ], "container-title" : "Clinical Cancer Research", "id" : "ITEM-1", "issue" : "24", "issued" : { "date-parts" : [ [ "2012", "12", "15" ] ] }, "page" : "6658-6667", "title" : "Translating the therapeutic potential of AZD4547 in FGFR1-amplified non-small cell lung cancer through the use of patient-derived tumor xenograft models", "type" : "article-journal", "volume" : "18" }, "uris" : [ "http://www.mendeley.com/documents/?uuid=716456cb-b80c-3ac9-ba20-40ad6f77287a" ] } ], "mendeley" : { "formattedCitation" : "[9]", "plainTextFormattedCitation" : "[9]", "previouslyFormattedCitation" : "[9]"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[9]</w:t>
      </w:r>
      <w:r w:rsidR="00D27023">
        <w:rPr>
          <w:rFonts w:ascii="Arial" w:hAnsi="Arial" w:cs="Arial"/>
          <w:color w:val="222222"/>
        </w:rPr>
        <w:fldChar w:fldCharType="end"/>
      </w:r>
      <w:r>
        <w:rPr>
          <w:rFonts w:ascii="Arial" w:hAnsi="Arial" w:cs="Arial"/>
          <w:color w:val="222222"/>
        </w:rPr>
        <w:t xml:space="preserve"> and crenolanib (targeting PDGFRs)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"10.1200/JCO.2009.21.8487", "ISSN" : "0732183X", "abstract" : "Purpose: This phase I, first-in-human study evaluated the safety, tolerability, pharmacokinetics, and maximum-tolerated dose (MTD) of an oral platelet-derived growth factor receptor inhibitor, CP-868,596. Patients and Methods: Patients with advanced solid tumors were eligible. Dose escalations were performed in three groups with two formulations: uncoated on an empty stomach (UES), uncoated with food (UFED), and film-coated (FC) without food. Initial dose escalation in the UES group was followed by parallel escalations in the UFED and FC groups. Results: Fifty-nine patients enrolled. CP-868,596 was escalated from 100 mg to 340 mg daily in the UES group, from 60 mg to 100 mg twice daily in the UFED group, and from 100 mg once daily to 140 mg twice daily in the FC group. MTDs were 200 mg daily in the UES group and 100 mg twice daily in the FC group; MTD was not reached at 100 mg twice daily in the UFED group. Dose-limiting toxicities included hematuria, increased \u03b3- glutamyltransferase or ALT, insomnia, and nausea/vomiting. Most treatment-related AEs were of grades 1 to 2 severity; nausea, vomiting, and diarrhea were reported most frequently. Administration with food generally improved tolerability. CP-868,596 was absorbed slowly; systemic exposure parameters appeared to increase greater than proportionally with dose. Mean serum concentrations exceeded the preclinically predicted minimal efficacious concentration (ie, 16 ng/mL) at all dosages. Food and film coating apparently increased interpatient variability of the maximum observed plasma concentration and the area under the concentration-time curve. No objective responses were reported, and eight patients achieved stable disease (mean duration, 5.7 months). Conclusion: CP-868,596 potentially demonstrated greater than dose-proportional pharmacokinetics. The recommended dosage of 100 mg twice daily with food was well tolerated. Additional development as a single agent in selected populations or in combination with chemotherapy in broader populations is warranted. \u00a9 2009 by American Society of Clinical Oncology.", "author" : [ { "dropping-particle" : "", "family" : "Lewis", "given" : "Nancy L.", "non-dropping-particle" : "", "parse-names" : false, "suffix" : "" }, { "dropping-particle" : "", "family" : "Lewis", "given" : "Lionel D.", "non-dropping-particle" : "", "parse-names" : false, "suffix" : "" }, { "dropping-particle" : "", "family" : "Eder", "given" : "Joseph P.", "non-dropping-particle" : "", "parse-names" : false, "suffix" : "" }, { "dropping-particle" : "", "family" : "Reddy", "given" : "Nandi J.", "non-dropping-particle" : "", "parse-names" : false, "suffix" : "" }, { "dropping-particle" : "", "family" : "Guo", "given" : "Feng", "non-dropping-particle" : "", "parse-names" : false, "suffix" : "" }, { "dropping-particle" : "", "family" : "Pierce", "given" : "Kristen J.", "non-dropping-particle" : "", "parse-names" : false, "suffix" : "" }, { "dropping-particle" : "", "family" : "Olszanski", "given" : "Anthony J.", "non-dropping-particle" : "", "parse-names" : false, "suffix" : "" }, { "dropping-particle" : "", "family" : "Cohen", "given" : "Roger B.", "non-dropping-particle" : "", "parse-names" : false, "suffix" : "" } ], "container-title" : "Journal of Clinical Oncology", "id" : "ITEM-1", "issue" : "31", "issued" : { "date-parts" : [ [ "2009", "11", "1" ] ] }, "page" : "5262-5269", "title" : "Phase I study of the safety, tolerability, and pharmacokinetics of oral CP-868,596, a highly specific platelet-derived growth factor receptor tyrosine kinase inhibitor in patients with advanced cancers", "type" : "article-journal", "volume" : "27" }, "uris" : [ "http://www.mendeley.com/documents/?uuid=c56eca87-ccdf-355c-8b39-978a9feadd7c" ] }, { "id" : "ITEM-2", "itemData" : { "DOI" : "10.1038/s41416-019-0498-2", "ISSN" : "0007-0920", "PMID" : "31235865", "abstract" : "BACKGROUND Crenolanib is a tyrosine kinase inhibitor targeting PDGFR-\u03b1, PDGFR-\u03b2 and Fms related tyrosine kinase-3 (FLT3) that is currently evaluated in several clinical trials. Although platelet-derived growth factor receptor (PDGFR) signalling pathway is believed to play an important role in angiogenesis and maintenance of functional vasculature, we here demonstrate a direct angiostatic activity of crenolanib independently of PDGFR signalling. METHODS The activity of crenolanib on cell viability, migration, sprouting, apoptosis and mitosis was assessed in endothelial cells, tumour cells and fibroblasts. Alterations in cell morphology were determined by immunofluorescence experiments. Flow-cytometry analysis and mRNA expression profiles were used to investigate cell differentiation. In vivo efficacy was investigated in human ovarian\u00a0carcinoma implanted on the chicken chorioallantoic membrane (CAM). RESULTS Crenolanib was found to inhibit endothelial cell viability, migration\u00a0and\u00a0sprout length, and induced apoptosis independently of PDGFR expression. Treated cells \u00a0showed altered actin arrangement and nuclear aberrations. Mitosis was affected at several levels including mitosis entry and centrosome clustering. Crenolanib suppressed human ovarian carcinoma\u00a0tumour growth and angiogenesis in the CAM model. CONCLUSIONS The PDGFR/FLT3 inhibitor crenolanib targets angiogenesis and inhibits tumour growth in vivo unrelated to PDGFR expression. Based on our findings, we suggest a broad mechanism of action of crenolanib.", "author" : [ { "dropping-particle" : "", "family" : "Berndsen", "given" : "Robert H.", "non-dropping-particle" : "", "parse-names" : false, "suffix" : "" }, { "dropping-particle" : "", "family" : "Castrogiovanni", "given" : "C\u00e9dric", "non-dropping-particle" : "", "parse-names" : false, "suffix" : "" }, { "dropping-particle" : "", "family" : "Weiss", "given" : "Andrea", "non-dropping-particle" : "", "parse-names" : false, "suffix" : "" }, { "dropping-particle" : "", "family" : "Rausch", "given" : "Magdalena", "non-dropping-particle" : "", "parse-names" : false, "suffix" : "" }, { "dropping-particle" : "", "family" : "Dallinga", "given" : "Marchien G.", "non-dropping-particle" : "", "parse-names" : false, "suffix" : "" }, { "dropping-particle" : "", "family" : "Miljkovic-Licina", "given" : "Marijana", "non-dropping-particle" : "", "parse-names" : false, "suffix" : "" }, { "dropping-particle" : "", "family" : "Klaassen", "given" : "Ingeborg", "non-dropping-particle" : "", "parse-names" : false, "suffix" : "" }, { "dropping-particle" : "", "family" : "Meraldi", "given" : "Patrick", "non-dropping-particle" : "", "parse-names" : false, "suffix" : "" }, { "dropping-particle" : "", "family" : "Beijnum", "given" : "Judy R.", "non-dropping-particle" : "van", "parse-names" : false, "suffix" : "" }, { "dropping-particle" : "", "family" : "Nowak-Sliwinska", "given" : "Patrycja", "non-dropping-particle" : "", "parse-names" : false, "suffix" : "" } ], "container-title" : "British Journal of Cancer", "id" : "ITEM-2", "issue" : "2", "issued" : { "date-parts" : [ [ "2019", "7", "25" ] ] }, "page" : "139-149", "title" : "Anti-angiogenic effects of crenolanib are mediated by mitotic modulation independently of PDGFR expression", "type" : "article-journal", "volume" : "121" }, "uris" : [ "http://www.mendeley.com/documents/?uuid=8bc74d52-97a3-363a-9fc0-695bd44e4358" ] } ], "mendeley" : { "formattedCitation" : "[10,11]", "plainTextFormattedCitation" : "[10,11]", "previouslyFormattedCitation" : "[10,11]"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[10,11]</w:t>
      </w:r>
      <w:r w:rsidR="00D27023">
        <w:rPr>
          <w:rFonts w:ascii="Arial" w:hAnsi="Arial" w:cs="Arial"/>
          <w:color w:val="222222"/>
        </w:rPr>
        <w:fldChar w:fldCharType="end"/>
      </w:r>
      <w:r w:rsidR="00D27023">
        <w:rPr>
          <w:rFonts w:ascii="Arial" w:hAnsi="Arial" w:cs="Arial"/>
          <w:color w:val="222222"/>
        </w:rPr>
        <w:t xml:space="preserve"> </w:t>
      </w:r>
      <w:r>
        <w:rPr>
          <w:rFonts w:ascii="Arial" w:hAnsi="Arial" w:cs="Arial"/>
          <w:color w:val="222222"/>
        </w:rPr>
        <w:t xml:space="preserve">were purchased from Selleck Chemicals (Houston, TX, USA). Dasatinib (targeting BCR/ABL)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"10.1021/jm049486a", "ISSN" : "00222623", "abstract" : "A series of substituted 2-(aminopyridyl)- and 2-(aminopyrimidinyl)thiazole- 5-carboxamides was identified as potent Src/Abl kinase inhibitors with excellent antiproliferative activity against hematological and solid tumor cell lines. Compound 13 was orally active in a K562 xenograft model of chronic myelogenous leukemia (CML), demonstrating complete tumor regressions and low toxicity at multiple dose levels. On the basis of its robust in vivo activity and favorable pharmacokinetic profile, 13 was selected for additional characterization for oncology indications.", "author" : [ { "dropping-particle" : "", "family" : "Lombardo", "given" : "Louis J.", "non-dropping-particle" : "", "parse-names" : false, "suffix" : "" }, { "dropping-particle" : "", "family" : "Lee", "given" : "Francis Y.", "non-dropping-particle" : "", "parse-names" : false, "suffix" : "" }, { "dropping-particle" : "", "family" : "Chen", "given" : "Ping", "non-dropping-particle" : "", "parse-names" : false, "suffix" : "" }, { "dropping-particle" : "", "family" : "Norris", "given" : "Derek", "non-dropping-particle" : "", "parse-names" : false, "suffix" : "" }, { "dropping-particle" : "", "family" : "Barrish", "given" : "Joel C.", "non-dropping-particle" : "", "parse-names" : false, "suffix" : "" }, { "dropping-particle" : "", "family" : "Behnia", "given" : "Kamelia", "non-dropping-particle" : "", "parse-names" : false, "suffix" : "" }, { "dropping-particle" : "", "family" : "Castaneda", "given" : "Stephen", "non-dropping-particle" : "", "parse-names" : false, "suffix" : "" }, { "dropping-particle" : "", "family" : "Cornelius", "given" : "Lyndon A.M.", "non-dropping-particle" : "", "parse-names" : false, "suffix" : "" }, { "dropping-particle" : "", "family" : "Das", "given" : "Jagabandhu", "non-dropping-particle" : "", "parse-names" : false, "suffix" : "" }, { "dropping-particle" : "", "family" : "Doweyko", "given" : "Arthur M.", "non-dropping-particle" : "", "parse-names" : false, "suffix" : "" }, { "dropping-particle" : "", "family" : "Fairchild", "given" : "Craig", "non-dropping-particle" : "", "parse-names" : false, "suffix" : "" }, { "dropping-particle" : "", "family" : "Hunt", "given" : "John T.", "non-dropping-particle" : "", "parse-names" : false, "suffix" : "" }, { "dropping-particle" : "", "family" : "Inigo", "given" : "Ivan", "non-dropping-particle" : "", "parse-names" : false, "suffix" : "" }, { "dropping-particle" : "", "family" : "Johnston", "given" : "Kathy", "non-dropping-particle" : "", "parse-names" : false, "suffix" : "" }, { "dropping-particle" : "", "family" : "Kamath", "given" : "Amrita", "non-dropping-particle" : "", "parse-names" : false, "suffix" : "" }, { "dropping-particle" : "", "family" : "Kan", "given" : "David", "non-dropping-particle" : "", "parse-names" : false, "suffix" : "" }, { "dropping-particle" : "", "family" : "Klei", "given" : "Herbert", "non-dropping-particle" : "", "parse-names" : false, "suffix" : "" }, { "dropping-particle" : "", "family" : "Marathe", "given" : "Punit", "non-dropping-particle" : "", "parse-names" : false, "suffix" : "" }, { "dropping-particle" : "", "family" : "Pang", "given" : "Suhong", "non-dropping-particle" : "", "parse-names" : false, "suffix" : "" }, { "dropping-particle" : "", "family" : "Peterson", "given" : "Russell", "non-dropping-particle" : "", "parse-names" : false, "suffix" : "" }, { "dropping-particle" : "", "family" : "Pitt", "given" : "Sidney", "non-dropping-particle" : "", "parse-names" : false, "suffix" : "" }, { "dropping-particle" : "", "family" : "Schieven", "given" : "Gary L.", "non-dropping-particle" : "", "parse-names" : false, "suffix" : "" }, { "dropping-particle" : "", "family" : "Schmidt", "given" : "Robert J.", "non-dropping-particle" : "", "parse-names" : false, "suffix" : "" }, { "dropping-particle" : "", "family" : "Tokarski", "given" : "John", "non-dropping-particle" : "", "parse-names" : false, "suffix" : "" }, { "dropping-particle" : "", "family" : "Wen", "given" : "Mei Li", "non-dropping-particle" : "", "parse-names" : false, "suffix" : "" }, { "dropping-particle" : "", "family" : "Wityak", "given" : "John", "non-dropping-particle" : "", "parse-names" : false, "suffix" : "" }, { "dropping-particle" : "", "family" : "Borzilleri", "given" : "Robert M.", "non-dropping-particle" : "", "parse-names" : false, "suffix" : "" } ], "container-title" : "Journal of Medicinal Chemistry", "id" : "ITEM-1", "issue" : "27", "issued" : { "date-parts" : [ [ "2004", "12", "30" ] ] }, "page" : "6658-6661", "title" : "Discovery of N-(2-chloro-6-methylphenyl)-2-(6-(4-(2-hydroxyethyl)- piperazin-1-yl)-2-methylpyrimidin-4-ylamino)thiazole-5-carboxamide (BMS-354825), a dual Src/Abl kinase inhibitor with potent antitumor activity in preclinical assays", "type" : "article-journal", "volume" : "47" }, "uris" : [ "http://www.mendeley.com/documents/?uuid=7d984a04-c91b-35d5-ac3c-378d16c22648" ] } ], "mendeley" : { "formattedCitation" : "[12]", "plainTextFormattedCitation" : "[12]", "previouslyFormattedCitation" : "[12]"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[12]</w:t>
      </w:r>
      <w:r w:rsidR="00D27023">
        <w:rPr>
          <w:rFonts w:ascii="Arial" w:hAnsi="Arial" w:cs="Arial"/>
          <w:color w:val="222222"/>
        </w:rPr>
        <w:fldChar w:fldCharType="end"/>
      </w:r>
      <w:r>
        <w:rPr>
          <w:rFonts w:ascii="Arial" w:hAnsi="Arial" w:cs="Arial"/>
          <w:color w:val="222222"/>
        </w:rPr>
        <w:t xml:space="preserve">was purchased from </w:t>
      </w:r>
      <w:proofErr w:type="spellStart"/>
      <w:r>
        <w:rPr>
          <w:rFonts w:ascii="Arial" w:hAnsi="Arial" w:cs="Arial"/>
          <w:color w:val="222222"/>
        </w:rPr>
        <w:t>Fluorochem</w:t>
      </w:r>
      <w:proofErr w:type="spellEnd"/>
      <w:r>
        <w:rPr>
          <w:rFonts w:ascii="Arial" w:hAnsi="Arial" w:cs="Arial"/>
          <w:color w:val="222222"/>
        </w:rPr>
        <w:t xml:space="preserve"> Ltd. (Derbyshire, UK). Sunitinib and </w:t>
      </w:r>
      <w:proofErr w:type="spellStart"/>
      <w:r>
        <w:rPr>
          <w:rFonts w:ascii="Arial" w:hAnsi="Arial" w:cs="Arial"/>
          <w:color w:val="222222"/>
        </w:rPr>
        <w:t>crizotinib</w:t>
      </w:r>
      <w:proofErr w:type="spellEnd"/>
      <w:r>
        <w:rPr>
          <w:rFonts w:ascii="Arial" w:hAnsi="Arial" w:cs="Arial"/>
          <w:color w:val="222222"/>
        </w:rPr>
        <w:t xml:space="preserve"> were not included in the s-FSC experimental steps. Sunitinib (targeting VEGFRs, PDGFRs and c-Kit)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"10.3816/CGC.2005.n.029", "ISSN" : "15587673", "abstract" : "Several molecular pathways are implicated in renal cell carcinoma (RCC) pathogenesis, including the von Hippel-Lindau gene inactivation leading to vascular endothelial growth factor (VEGF) and platelet derived growth factor (PDGF) expression. SU11248 and AG013736 are small-molecule inhibitors of the tyrosine kinase portion of the VEGF and PDGF receptors. Substantial clinical activity has been reported for these agents in metastatic RCC trials, leading to additional investigations in a variety of settings.", "author" : [ { "dropping-particle" : "", "family" : "Rini", "given" : "Brian I.", "non-dropping-particle" : "", "parse-names" : false, "suffix" : "" } ], "container-title" : "Clinical Genitourinary Cancer", "id" : "ITEM-1", "issue" : "3", "issued" : { "date-parts" : [ [ "2005" ] ] }, "page" : "175-180", "publisher" : "Cancer Information Group, LP", "title" : "SU11248 and AG013736: Current data and future trials in renal cell carcinoma", "type" : "article", "volume" : "4" }, "uris" : [ "http://www.mendeley.com/documents/?uuid=a5c28f5d-b81a-3334-a9a6-584b8725d840" ] } ], "mendeley" : { "formattedCitation" : "[13]", "plainTextFormattedCitation" : "[13]", "previouslyFormattedCitation" : "[13]"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[13]</w:t>
      </w:r>
      <w:r w:rsidR="00D27023">
        <w:rPr>
          <w:rFonts w:ascii="Arial" w:hAnsi="Arial" w:cs="Arial"/>
          <w:color w:val="222222"/>
        </w:rPr>
        <w:fldChar w:fldCharType="end"/>
      </w:r>
      <w:r>
        <w:rPr>
          <w:rFonts w:ascii="Arial" w:hAnsi="Arial" w:cs="Arial"/>
          <w:color w:val="222222"/>
        </w:rPr>
        <w:t xml:space="preserve">was used as a control for apoptosis induction and purchased from Pfizer Inc. (New York, NY, USA). </w:t>
      </w:r>
      <w:proofErr w:type="spellStart"/>
      <w:r>
        <w:rPr>
          <w:rFonts w:ascii="Arial" w:hAnsi="Arial" w:cs="Arial"/>
          <w:color w:val="222222"/>
        </w:rPr>
        <w:t>Crizotinib</w:t>
      </w:r>
      <w:proofErr w:type="spellEnd"/>
      <w:r>
        <w:rPr>
          <w:rFonts w:ascii="Arial" w:hAnsi="Arial" w:cs="Arial"/>
          <w:color w:val="222222"/>
        </w:rPr>
        <w:t xml:space="preserve"> (targeting MET and PTK2</w:t>
      </w:r>
      <w:r w:rsidR="00D27023">
        <w:rPr>
          <w:rFonts w:ascii="Arial" w:hAnsi="Arial" w:cs="Arial"/>
          <w:color w:val="222222"/>
        </w:rPr>
        <w:t xml:space="preserve">) </w:t>
      </w:r>
      <w:r w:rsidR="00D27023">
        <w:rPr>
          <w:rFonts w:ascii="Arial" w:hAnsi="Arial" w:cs="Arial"/>
          <w:color w:val="222222"/>
        </w:rPr>
        <w:fldChar w:fldCharType="begin" w:fldLock="1"/>
      </w:r>
      <w:r w:rsidR="00452C63">
        <w:rPr>
          <w:rFonts w:ascii="Arial" w:hAnsi="Arial" w:cs="Arial"/>
          <w:color w:val="222222"/>
        </w:rPr>
        <w:instrText>ADDIN CSL_CITATION { "citationItems" : [ { "id" : "ITEM-1", "itemData" : { "DOI" : "10.1158/0008-5472.CAN-06-4443", "ISSN" : "0008-5472", "PMID" : "17483355", "abstract" : "The c-Met receptor tyrosine kinase and its ligand, hepatocyte growth factor (HGF), have been implicated in the progression of several human cancers and are attractive therapeutic targets. PF-2341066 was identified as a potent, orally bioavailable, ATP-competitive small-molecule inhibitor of the catalytic activity of c-Met kinase. PF-2341066 was selective for c-Met (and anaplastic lymphoma kinase) compared with a panel of &gt;120 diverse tyrosine and serine-threonine kinases. PF-2341066 potently inhibited c-Met phosphorylation and c-Met-dependent proliferation, migration, or invasion of human tumor cells in vitro (IC(50) values, 5-20 nmol/L). In addition, PF-2341066 potently inhibited HGF-stimulated endothelial cell survival or invasion and serum-stimulated tubulogenesis in vitro, suggesting that this agent also exhibits antiangiogenic properties. PF-2341066 showed efficacy at well-tolerated doses, including marked cytoreductive antitumor activity, in several tumor models that expressed activated c-Met. The antitumor efficacy of PF-2341066 was dose dependent and showed a strong correlation to inhibition of c-Met phosphorylation in vivo. Near-maximal inhibition of c-Met activity for the full dosing interval was necessary to maximize the efficacy of PF-2341066. Additional mechanism-of-action studies showed dose-dependent inhibition of c-Met-dependent signal transduction, tumor cell proliferation (Ki67), induction of apoptosis (caspase-3), and reduction of microvessel density (CD31). These results indicated that the antitumor activity of PF-2341066 may be mediated by direct effects on tumor cell growth or survival as well as antiangiogenic mechanisms. Collectively, these results show the therapeutic potential of targeting c-Met with selective small-molecule inhibitors for the treatment of human cancers.", "author" : [ { "dropping-particle" : "", "family" : "Zou", "given" : "Helen Y", "non-dropping-particle" : "", "parse-names" : false, "suffix" : "" }, { "dropping-particle" : "", "family" : "Li", "given" : "Qiuhua", "non-dropping-particle" : "", "parse-names" : false, "suffix" : "" }, { "dropping-particle" : "", "family" : "Lee", "given" : "Joseph H", "non-dropping-particle" : "", "parse-names" : false, "suffix" : "" }, { "dropping-particle" : "", "family" : "Arango", "given" : "Maria E", "non-dropping-particle" : "", "parse-names" : false, "suffix" : "" }, { "dropping-particle" : "", "family" : "McDonnell", "given" : "Scott R", "non-dropping-particle" : "", "parse-names" : false, "suffix" : "" }, { "dropping-particle" : "", "family" : "Yamazaki", "given" : "Shinji", "non-dropping-particle" : "", "parse-names" : false, "suffix" : "" }, { "dropping-particle" : "", "family" : "Koudriakova", "given" : "Tatiana B", "non-dropping-particle" : "", "parse-names" : false, "suffix" : "" }, { "dropping-particle" : "", "family" : "Alton", "given" : "Gordon", "non-dropping-particle" : "", "parse-names" : false, "suffix" : "" }, { "dropping-particle" : "", "family" : "Cui", "given" : "Jingrong J", "non-dropping-particle" : "", "parse-names" : false, "suffix" : "" }, { "dropping-particle" : "", "family" : "Kung", "given" : "Pei-Pei", "non-dropping-particle" : "", "parse-names" : false, "suffix" : "" }, { "dropping-particle" : "", "family" : "Nambu", "given" : "Mitchell D", "non-dropping-particle" : "", "parse-names" : false, "suffix" : "" }, { "dropping-particle" : "", "family" : "Los", "given" : "Gerrit", "non-dropping-particle" : "", "parse-names" : false, "suffix" : "" }, { "dropping-particle" : "", "family" : "Bender", "given" : "Steven L", "non-dropping-particle" : "", "parse-names" : false, "suffix" : "" }, { "dropping-particle" : "", "family" : "Mroczkowski", "given" : "Barbara", "non-dropping-particle" : "", "parse-names" : false, "suffix" : "" }, { "dropping-particle" : "", "family" : "Christensen", "given" : "James G", "non-dropping-particle" : "", "parse-names" : false, "suffix" : "" } ], "container-title" : "Cancer research", "id" : "ITEM-1", "issue" : "9", "issued" : { "date-parts" : [ [ "2007", "5", "1" ] ] }, "page" : "4408-17", "title" : "An orally available small-molecule inhibitor of c-Met, PF-2341066, exhibits cytoreductive antitumor efficacy through antiproliferative and antiangiogenic mechanisms.", "type" : "article-journal", "volume" : "67" }, "uris" : [ "http://www.mendeley.com/documents/?uuid=7add42e9-1ae1-3be1-ba2a-a27fe0850839" ] } ], "mendeley" : { "formattedCitation" : "[14]", "plainTextFormattedCitation" : "[14]", "previouslyFormattedCitation" : "[14]" }, "properties" : { "noteIndex" : 0 }, "schema" : "https://github.com/citation-style-language/schema/raw/master/csl-citation.json" }</w:instrText>
      </w:r>
      <w:r w:rsidR="00D27023">
        <w:rPr>
          <w:rFonts w:ascii="Arial" w:hAnsi="Arial" w:cs="Arial"/>
          <w:color w:val="222222"/>
        </w:rPr>
        <w:fldChar w:fldCharType="separate"/>
      </w:r>
      <w:r w:rsidR="00452C63" w:rsidRPr="00452C63">
        <w:rPr>
          <w:rFonts w:ascii="Arial" w:hAnsi="Arial" w:cs="Arial"/>
          <w:noProof/>
          <w:color w:val="222222"/>
        </w:rPr>
        <w:t>[14]</w:t>
      </w:r>
      <w:r w:rsidR="00D27023">
        <w:rPr>
          <w:rFonts w:ascii="Arial" w:hAnsi="Arial" w:cs="Arial"/>
          <w:color w:val="222222"/>
        </w:rPr>
        <w:fldChar w:fldCharType="end"/>
      </w:r>
      <w:r>
        <w:rPr>
          <w:rFonts w:ascii="Arial" w:hAnsi="Arial" w:cs="Arial"/>
          <w:color w:val="222222"/>
        </w:rPr>
        <w:t xml:space="preserve"> was used to test if efficacy could be increased when added to ODCs and purchased from </w:t>
      </w:r>
      <w:r w:rsidR="00DA73E8">
        <w:rPr>
          <w:rFonts w:ascii="Arial" w:hAnsi="Arial" w:cs="Arial"/>
          <w:color w:val="222222"/>
        </w:rPr>
        <w:t>Selleck Chemicals</w:t>
      </w:r>
      <w:r w:rsidR="00B63D9D">
        <w:rPr>
          <w:rFonts w:ascii="Arial" w:hAnsi="Arial" w:cs="Arial"/>
          <w:color w:val="222222"/>
        </w:rPr>
        <w:t xml:space="preserve">. </w:t>
      </w:r>
      <w:r>
        <w:rPr>
          <w:rFonts w:ascii="Arial" w:hAnsi="Arial" w:cs="Arial"/>
          <w:color w:val="222222"/>
        </w:rPr>
        <w:t>All compounds were dissolved in DMSO and stored at −20 °C for short term use or at −80 °C for storage up to six months with the exception of BEZ-235 which was dissolved in DMSO and stored at + 4 °C and RAPTA-C which was freshly dissolved in DMSO prior to each experiment. The maximum DMSO concentration for any combination was controlled in each experiment to verify its lack of activity in cell assays.</w:t>
      </w:r>
    </w:p>
    <w:p w:rsidR="00274F24" w:rsidRPr="00E84D95" w:rsidRDefault="00274F24" w:rsidP="00945FA0">
      <w:pPr>
        <w:pStyle w:val="Kop3"/>
        <w:shd w:val="clear" w:color="auto" w:fill="FFFFFF"/>
        <w:spacing w:before="0" w:beforeAutospacing="0" w:after="60" w:afterAutospacing="0" w:line="480" w:lineRule="auto"/>
        <w:rPr>
          <w:rFonts w:ascii="Arial" w:hAnsi="Arial" w:cs="Arial"/>
          <w:b w:val="0"/>
          <w:i/>
          <w:color w:val="222222"/>
          <w:sz w:val="20"/>
          <w:szCs w:val="20"/>
        </w:rPr>
      </w:pPr>
      <w:r>
        <w:rPr>
          <w:rFonts w:ascii="Arial" w:hAnsi="Arial" w:cs="Arial"/>
          <w:b w:val="0"/>
          <w:i/>
          <w:color w:val="222222"/>
          <w:sz w:val="20"/>
          <w:szCs w:val="20"/>
        </w:rPr>
        <w:lastRenderedPageBreak/>
        <w:t>Cell culture and maintenance</w:t>
      </w:r>
    </w:p>
    <w:p w:rsidR="00274F24" w:rsidRDefault="00274F24" w:rsidP="00945FA0">
      <w:pPr>
        <w:pStyle w:val="Normaalweb"/>
        <w:shd w:val="clear" w:color="auto" w:fill="FFFFFF"/>
        <w:spacing w:before="0" w:beforeAutospacing="0" w:after="0" w:afterAutospacing="0" w:line="480" w:lineRule="auto"/>
        <w:ind w:firstLine="720"/>
        <w:rPr>
          <w:rFonts w:ascii="Arial" w:hAnsi="Arial" w:cs="Arial"/>
          <w:b/>
          <w:color w:val="222222"/>
        </w:rPr>
      </w:pPr>
      <w:r w:rsidRPr="00E84D95">
        <w:rPr>
          <w:rFonts w:ascii="Arial" w:hAnsi="Arial" w:cs="Arial"/>
          <w:color w:val="222222"/>
        </w:rPr>
        <w:t>786-O (human RCC), EC</w:t>
      </w:r>
      <w:r>
        <w:rPr>
          <w:rFonts w:ascii="Arial" w:hAnsi="Arial" w:cs="Arial"/>
          <w:color w:val="222222"/>
        </w:rPr>
        <w:t>-</w:t>
      </w:r>
      <w:r w:rsidRPr="00E84D95">
        <w:rPr>
          <w:rFonts w:ascii="Arial" w:hAnsi="Arial" w:cs="Arial"/>
          <w:color w:val="222222"/>
        </w:rPr>
        <w:t xml:space="preserve">RF24 (immortalized human vascular endothelial cells) and HDFA (adult human dermal fibroblasts) were maintained in RPMI cell culture medium supplemented with 1% of antibiotics (penicillin/streptomycin, Life Technologies, Carlsbad, California, USA) and 10% bovine calf serum (NBCS) (Sigma-Aldrich, St. Louis, USA). Caki-1, Caki-2, ACHN and A498 (human RCC) were maintained in DMEM supplemented with 1% of antibiotics and 10% NBCS. </w:t>
      </w:r>
      <w:r>
        <w:rPr>
          <w:rFonts w:ascii="Arial" w:hAnsi="Arial" w:cs="Arial"/>
          <w:color w:val="222222"/>
        </w:rPr>
        <w:t xml:space="preserve">All cells were obtained from ATCC except for HDFA that was obtained from Cell Applications (San Diego, USA). Cells </w:t>
      </w:r>
      <w:r w:rsidRPr="00E84D95">
        <w:rPr>
          <w:rFonts w:ascii="Arial" w:hAnsi="Arial" w:cs="Arial"/>
          <w:color w:val="222222"/>
        </w:rPr>
        <w:t xml:space="preserve">were routinely tested for </w:t>
      </w:r>
      <w:r>
        <w:rPr>
          <w:rFonts w:ascii="Arial" w:hAnsi="Arial" w:cs="Arial"/>
          <w:color w:val="222222"/>
        </w:rPr>
        <w:t xml:space="preserve">the </w:t>
      </w:r>
      <w:r w:rsidRPr="00E84D95">
        <w:rPr>
          <w:rFonts w:ascii="Arial" w:hAnsi="Arial" w:cs="Arial"/>
          <w:color w:val="222222"/>
        </w:rPr>
        <w:t xml:space="preserve">absence of mycoplasma. </w:t>
      </w:r>
      <w:r>
        <w:rPr>
          <w:rFonts w:ascii="Arial" w:hAnsi="Arial" w:cs="Arial"/>
          <w:color w:val="222222"/>
        </w:rPr>
        <w:t>EC-RF24 cells were immortalized as described previously</w:t>
      </w:r>
      <w:r>
        <w:rPr>
          <w:rFonts w:ascii="Arial" w:hAnsi="Arial" w:cs="Arial"/>
          <w:color w:val="222222"/>
        </w:rPr>
        <w:fldChar w:fldCharType="begin" w:fldLock="1"/>
      </w:r>
      <w:r w:rsidR="00452C63">
        <w:rPr>
          <w:rFonts w:ascii="Arial" w:hAnsi="Arial" w:cs="Arial"/>
          <w:color w:val="222222"/>
        </w:rPr>
        <w:instrText>ADDIN CSL_CITATION { "citationItems" : [ { "id" : "ITEM-1", "itemData" : { "DOI" : "10.1006/excr.1995.1025", "ISSN" : "0014-4827", "PMID" : "7813621", "abstract" : "Primary human vascular endothelial cells were immortalized by the integration of a single DNA copy of an amphotrophic, replication-deficient retrovirus containing the E6/E7 genes of human papilloma virus. To date, the resulting cell lines, designated EC-RF7 and EC-RF24, have been cultured for more than 1 year. The cell lines have retained a diploid karyotype, display no abnormalities, and are able to grow in a polar mode. Analysis of the EC-RF cell lines by indirect immunofluorescence, using an extensive panel of monoclonal antibodies, showed expression of endothelial cell-specific soluble (von Willebrand factor) and surface-bound antigens (endoglin, PCAM-1) indistinguishable from that of primary cells. In addition, the expression of the markers CD9, 13, 14, 29, 36, 40, 51, and 55 that are not restricted to endothelial cells was also similar for the immortalized and the primary endothelial cells. Immortalization did not alter the expression of the surface adhesion molecules E-selectin, VCAM-1, and ICAM-1 nor transmigration of neutrophils. The regulation of extracellular proteolytic activity by EC-RF24 was established by measuring both the induction of functional tissue factor (promotion of Factor Xa generation) and the functional deposition of plasminogen activator inhibitor 1 in the subendothelial matrix (SDS-resistant complex formation with thrombin). Finally, the biosynthesis of the endothelial cell-specific von Willebrand factor was studied in detail in the EC-RF24 cell line and the results were compared with those of primary endothelial cells.", "author" : [ { "dropping-particle" : "", "family" : "Fontijn", "given" : "R", "non-dropping-particle" : "", "parse-names" : false, "suffix" : "" }, { "dropping-particle" : "", "family" : "Hop", "given" : "C", "non-dropping-particle" : "", "parse-names" : false, "suffix" : "" }, { "dropping-particle" : "", "family" : "Brinkman", "given" : "H J", "non-dropping-particle" : "", "parse-names" : false, "suffix" : "" }, { "dropping-particle" : "", "family" : "Slater", "given" : "R", "non-dropping-particle" : "", "parse-names" : false, "suffix" : "" }, { "dropping-particle" : "", "family" : "Westerveld", "given" : "A", "non-dropping-particle" : "", "parse-names" : false, "suffix" : "" }, { "dropping-particle" : "", "family" : "Mourik", "given" : "J A", "non-dropping-particle" : "van", "parse-names" : false, "suffix" : "" }, { "dropping-particle" : "", "family" : "Pannekoek", "given" : "H", "non-dropping-particle" : "", "parse-names" : false, "suffix" : "" } ], "container-title" : "Experimental cell research", "id" : "ITEM-1", "issue" : "1", "issued" : { "date-parts" : [ [ "1995", "1" ] ] }, "page" : "199-207", "title" : "Maintenance of vascular endothelial cell-specific properties after immortalization with an amphotrophic replication-deficient retrovirus containing human papilloma virus 16 E6/E7 DNA.", "type" : "article-journal", "volume" : "216" }, "uris" : [ "http://www.mendeley.com/documents/?uuid=a89c32c9-cf89-423b-b0b8-170a952fb656" ] } ], "mendeley" : { "formattedCitation" : "[15]", "plainTextFormattedCitation" : "[15]", "previouslyFormattedCitation" : "[15]" }, "properties" : { "noteIndex" : 0 }, "schema" : "https://github.com/citation-style-language/schema/raw/master/csl-citation.json" }</w:instrText>
      </w:r>
      <w:r>
        <w:rPr>
          <w:rFonts w:ascii="Arial" w:hAnsi="Arial" w:cs="Arial"/>
          <w:color w:val="222222"/>
        </w:rPr>
        <w:fldChar w:fldCharType="separate"/>
      </w:r>
      <w:r w:rsidR="00452C63" w:rsidRPr="00452C63">
        <w:rPr>
          <w:rFonts w:ascii="Arial" w:hAnsi="Arial" w:cs="Arial"/>
          <w:noProof/>
          <w:color w:val="222222"/>
        </w:rPr>
        <w:t>[15]</w:t>
      </w:r>
      <w:r>
        <w:rPr>
          <w:rFonts w:ascii="Arial" w:hAnsi="Arial" w:cs="Arial"/>
          <w:color w:val="222222"/>
        </w:rPr>
        <w:fldChar w:fldCharType="end"/>
      </w:r>
      <w:r>
        <w:rPr>
          <w:rFonts w:ascii="Arial" w:hAnsi="Arial" w:cs="Arial"/>
          <w:color w:val="222222"/>
        </w:rPr>
        <w:t xml:space="preserve">, and available in-house. </w:t>
      </w:r>
      <w:r w:rsidRPr="00E84D95">
        <w:rPr>
          <w:rFonts w:ascii="Arial" w:hAnsi="Arial" w:cs="Arial"/>
          <w:color w:val="222222"/>
        </w:rPr>
        <w:t>HUVEC were freshly isolated from umbilical cords and cultured in RPMI supplemented with 10% NBCS and 10% human serum, as described previously</w:t>
      </w:r>
      <w:r>
        <w:rPr>
          <w:rFonts w:ascii="Arial" w:hAnsi="Arial" w:cs="Arial"/>
          <w:color w:val="222222"/>
        </w:rPr>
        <w:fldChar w:fldCharType="begin" w:fldLock="1"/>
      </w:r>
      <w:r w:rsidR="00452C63">
        <w:rPr>
          <w:rFonts w:ascii="Arial" w:hAnsi="Arial" w:cs="Arial"/>
          <w:color w:val="222222"/>
        </w:rPr>
        <w:instrText>ADDIN CSL_CITATION { "citationItems" : [ { "id" : "ITEM-1", "itemData" : { "DOI" : "10.1016/j.yexcr.2007.08.013", "ISSN" : "0014-4827", "PMID" : "17880939", "abstract" : "Genomics efforts of the past decade have resulted in the identification of numerous genes with putative roles in disease processes, including tumor angiogenesis. To functionally validate these genes, cultured endothelial cells are indispensable tools, though these may not completely mimic the phenotype of tissue endothelial cells as the proper microenvironment is lacking. To obtain experimental data representative of normal physiology, the use of primary endothelial cells is preferred. However, these cells are usually limited in passage number, can be difficult to obtain and show great interindividual variety. Furthermore, transfection efficiency is very limited in primary cells, hampering applications in functional genomics and gene function analysis. The use of properly characterized alternative endothelial cell sources is therefore warranted. Here, we compared immortalized endothelial cells - HMEC, RF24 and EVLC2 - with primary HUVEC. We show that RF24, and to a slightly lesser extent HMEC, resembles primary HUVEC most on all facets examined. RF24, in contrast to EVLC2, express the endothelial markers CD31, CD34, CD105, vWF and VE-cadherin, and are capable of migration and tube formation in vitro. Furthermore, the expression levels of angiogenic growth factors and their receptors are comparable to that of primary EC. In addition, whereas primary HUVEC are resistant to transfection using common lipophilic transfection reagents, HMEC and RF24 could be readily transfected. Hence, these cells pose a valuable tool for functional genomics in angiogenesis research.", "author" : [ { "dropping-particle" : "", "family" : "Beijnum", "given" : "Judy R.", "non-dropping-particle" : "van", "parse-names" : false, "suffix" : "" }, { "dropping-particle" : "", "family" : "Linden", "given" : "Edith", "non-dropping-particle" : "van der", "parse-names" : false, "suffix" : "" }, { "dropping-particle" : "", "family" : "Griffioen", "given" : "Arjan W.", "non-dropping-particle" : "", "parse-names" : false, "suffix" : "" } ], "container-title" : "Experimental cell research", "id" : "ITEM-1", "issue" : "2", "issued" : { "date-parts" : [ [ "2008", "1", "15" ] ] }, "page" : "264-72", "title" : "Angiogenic profiling and comparison of immortalized endothelial cells for functional genomics.", "type" : "article-journal", "volume" : "314" }, "uris" : [ "http://www.mendeley.com/documents/?uuid=d65620bb-1b2b-45b0-9de5-10912257d7b2" ] } ], "mendeley" : { "formattedCitation" : "[16]", "plainTextFormattedCitation" : "[16]", "previouslyFormattedCitation" : "[16]" }, "properties" : { "noteIndex" : 0 }, "schema" : "https://github.com/citation-style-language/schema/raw/master/csl-citation.json" }</w:instrText>
      </w:r>
      <w:r>
        <w:rPr>
          <w:rFonts w:ascii="Arial" w:hAnsi="Arial" w:cs="Arial"/>
          <w:color w:val="222222"/>
        </w:rPr>
        <w:fldChar w:fldCharType="separate"/>
      </w:r>
      <w:r w:rsidR="00452C63" w:rsidRPr="00452C63">
        <w:rPr>
          <w:rFonts w:ascii="Arial" w:hAnsi="Arial" w:cs="Arial"/>
          <w:noProof/>
          <w:color w:val="222222"/>
        </w:rPr>
        <w:t>[16]</w:t>
      </w:r>
      <w:r>
        <w:rPr>
          <w:rFonts w:ascii="Arial" w:hAnsi="Arial" w:cs="Arial"/>
          <w:color w:val="222222"/>
        </w:rPr>
        <w:fldChar w:fldCharType="end"/>
      </w:r>
      <w:r w:rsidRPr="00E84D95">
        <w:rPr>
          <w:rFonts w:ascii="Arial" w:hAnsi="Arial" w:cs="Arial"/>
          <w:color w:val="222222"/>
        </w:rPr>
        <w:t xml:space="preserve">. </w:t>
      </w:r>
      <w:r>
        <w:rPr>
          <w:rFonts w:ascii="Arial" w:hAnsi="Arial" w:cs="Arial"/>
          <w:color w:val="222222"/>
        </w:rPr>
        <w:t xml:space="preserve">Essential cell line characteristics are presented in </w:t>
      </w:r>
      <w:r>
        <w:rPr>
          <w:rFonts w:ascii="Arial" w:hAnsi="Arial" w:cs="Arial"/>
          <w:b/>
          <w:color w:val="222222"/>
        </w:rPr>
        <w:t>Supplementary Table S1.1.</w:t>
      </w:r>
    </w:p>
    <w:p w:rsidR="00146990" w:rsidRDefault="00146990" w:rsidP="00945FA0">
      <w:pPr>
        <w:pStyle w:val="Normaalweb"/>
        <w:shd w:val="clear" w:color="auto" w:fill="FFFFFF"/>
        <w:spacing w:before="0" w:beforeAutospacing="0" w:after="0" w:afterAutospacing="0" w:line="480" w:lineRule="auto"/>
        <w:ind w:firstLine="720"/>
        <w:rPr>
          <w:rFonts w:ascii="Arial" w:hAnsi="Arial" w:cs="Arial"/>
          <w:b/>
          <w:color w:val="222222"/>
        </w:rPr>
      </w:pPr>
      <w:r>
        <w:rPr>
          <w:rFonts w:ascii="Arial" w:hAnsi="Arial" w:cs="Arial"/>
        </w:rPr>
        <w:t>For conventional 2D cell metabolic activity assays, 5000 (RCC) or 7500 (HDFA, EC-RF24) cells were plated in standard 96-well flat-bottom culture plates, and allowed to grow O/N. Drugs were added for 72 hours before luminescence readout with</w:t>
      </w:r>
      <w:r w:rsidRPr="004F6D1B">
        <w:rPr>
          <w:rFonts w:ascii="Arial" w:hAnsi="Arial" w:cs="Arial"/>
        </w:rPr>
        <w:t xml:space="preserve"> </w:t>
      </w:r>
      <w:proofErr w:type="spellStart"/>
      <w:r w:rsidRPr="00514C28">
        <w:rPr>
          <w:rFonts w:ascii="Arial" w:hAnsi="Arial" w:cs="Arial"/>
        </w:rPr>
        <w:t>CellTiter-Glo</w:t>
      </w:r>
      <w:proofErr w:type="spellEnd"/>
      <w:r w:rsidRPr="00514C28">
        <w:rPr>
          <w:rFonts w:ascii="Arial" w:hAnsi="Arial" w:cs="Arial"/>
          <w:vertAlign w:val="superscript"/>
        </w:rPr>
        <w:t>®</w:t>
      </w:r>
      <w:r w:rsidRPr="00514C28">
        <w:rPr>
          <w:rFonts w:ascii="Arial" w:hAnsi="Arial" w:cs="Arial"/>
        </w:rPr>
        <w:t xml:space="preserve"> (G7572, </w:t>
      </w:r>
      <w:proofErr w:type="spellStart"/>
      <w:r w:rsidRPr="00514C28">
        <w:rPr>
          <w:rFonts w:ascii="Arial" w:hAnsi="Arial" w:cs="Arial"/>
        </w:rPr>
        <w:t>Promega</w:t>
      </w:r>
      <w:proofErr w:type="spellEnd"/>
      <w:r>
        <w:rPr>
          <w:rFonts w:ascii="Arial" w:hAnsi="Arial" w:cs="Arial"/>
        </w:rPr>
        <w:t xml:space="preserve">) in a </w:t>
      </w:r>
      <w:proofErr w:type="spellStart"/>
      <w:r w:rsidRPr="00514C28">
        <w:rPr>
          <w:rFonts w:ascii="Arial" w:hAnsi="Arial" w:cs="Arial"/>
        </w:rPr>
        <w:t>BioTek</w:t>
      </w:r>
      <w:proofErr w:type="spellEnd"/>
      <w:r w:rsidRPr="00514C28">
        <w:rPr>
          <w:rFonts w:ascii="Arial" w:hAnsi="Arial" w:cs="Arial"/>
        </w:rPr>
        <w:t xml:space="preserve"> </w:t>
      </w:r>
      <w:proofErr w:type="spellStart"/>
      <w:r w:rsidRPr="00514C28">
        <w:rPr>
          <w:rFonts w:ascii="Arial" w:hAnsi="Arial" w:cs="Arial"/>
        </w:rPr>
        <w:t>Cytation</w:t>
      </w:r>
      <w:proofErr w:type="spellEnd"/>
      <w:r w:rsidRPr="00514C28">
        <w:rPr>
          <w:rFonts w:ascii="Arial" w:hAnsi="Arial" w:cs="Arial"/>
        </w:rPr>
        <w:t xml:space="preserve"> 3 </w:t>
      </w:r>
      <w:r>
        <w:rPr>
          <w:rFonts w:ascii="Arial" w:hAnsi="Arial" w:cs="Arial"/>
        </w:rPr>
        <w:t>r</w:t>
      </w:r>
      <w:r w:rsidRPr="00514C28">
        <w:rPr>
          <w:rFonts w:ascii="Arial" w:hAnsi="Arial" w:cs="Arial"/>
        </w:rPr>
        <w:t>eader</w:t>
      </w:r>
      <w:r>
        <w:rPr>
          <w:rFonts w:ascii="Arial" w:hAnsi="Arial" w:cs="Arial"/>
        </w:rPr>
        <w:t xml:space="preserve"> equipped with </w:t>
      </w:r>
      <w:r w:rsidRPr="00514C28">
        <w:rPr>
          <w:rFonts w:ascii="Arial" w:hAnsi="Arial" w:cs="Arial"/>
        </w:rPr>
        <w:t>Gen5 Image software version 3.04</w:t>
      </w:r>
      <w:r>
        <w:rPr>
          <w:rFonts w:ascii="Arial" w:hAnsi="Arial" w:cs="Arial"/>
        </w:rPr>
        <w:t>.</w:t>
      </w:r>
    </w:p>
    <w:p w:rsidR="004669EE" w:rsidRPr="00BA6AA3" w:rsidRDefault="004669EE" w:rsidP="00945FA0">
      <w:pPr>
        <w:pStyle w:val="Kop3"/>
        <w:shd w:val="clear" w:color="auto" w:fill="FFFFFF"/>
        <w:spacing w:before="0" w:beforeAutospacing="0" w:after="60" w:afterAutospacing="0" w:line="480" w:lineRule="auto"/>
        <w:rPr>
          <w:rFonts w:ascii="Arial" w:hAnsi="Arial" w:cs="Arial"/>
          <w:b w:val="0"/>
          <w:i/>
          <w:color w:val="222222"/>
          <w:sz w:val="20"/>
          <w:szCs w:val="20"/>
          <w:lang w:val="en-GB"/>
        </w:rPr>
      </w:pPr>
    </w:p>
    <w:p w:rsidR="002F1564" w:rsidRPr="00E84D95" w:rsidRDefault="002F1564" w:rsidP="00945FA0">
      <w:pPr>
        <w:pStyle w:val="Kop3"/>
        <w:shd w:val="clear" w:color="auto" w:fill="FFFFFF"/>
        <w:spacing w:before="0" w:beforeAutospacing="0" w:after="60" w:afterAutospacing="0" w:line="480" w:lineRule="auto"/>
        <w:rPr>
          <w:rFonts w:ascii="Arial" w:hAnsi="Arial" w:cs="Arial"/>
          <w:b w:val="0"/>
          <w:i/>
          <w:color w:val="222222"/>
          <w:sz w:val="20"/>
          <w:szCs w:val="20"/>
        </w:rPr>
      </w:pPr>
      <w:r w:rsidRPr="00E84D95">
        <w:rPr>
          <w:rFonts w:ascii="Arial" w:hAnsi="Arial" w:cs="Arial"/>
          <w:b w:val="0"/>
          <w:i/>
          <w:color w:val="222222"/>
          <w:sz w:val="20"/>
          <w:szCs w:val="20"/>
        </w:rPr>
        <w:t>Data analysis and modeling</w:t>
      </w:r>
    </w:p>
    <w:p w:rsidR="005F25A2" w:rsidRDefault="005F25A2" w:rsidP="00945FA0">
      <w:pPr>
        <w:pStyle w:val="Gemiddeldraster21"/>
        <w:spacing w:line="480" w:lineRule="auto"/>
        <w:ind w:firstLine="720"/>
        <w:rPr>
          <w:rFonts w:ascii="Arial" w:hAnsi="Arial" w:cs="Arial"/>
          <w:noProof/>
          <w:color w:val="222222"/>
          <w:sz w:val="20"/>
          <w:szCs w:val="20"/>
          <w:lang w:val="en-GB" w:eastAsia="en-GB"/>
        </w:rPr>
      </w:pPr>
      <w:r>
        <w:rPr>
          <w:rFonts w:ascii="Arial" w:hAnsi="Arial" w:cs="Arial"/>
          <w:color w:val="222222"/>
          <w:sz w:val="20"/>
          <w:szCs w:val="20"/>
          <w:lang w:val="en-GB"/>
        </w:rPr>
        <w:t>A limited number of d</w:t>
      </w:r>
      <w:r w:rsidR="002F1564" w:rsidRPr="00E84D95">
        <w:rPr>
          <w:rFonts w:ascii="Arial" w:hAnsi="Arial" w:cs="Arial"/>
          <w:color w:val="222222"/>
          <w:sz w:val="20"/>
          <w:szCs w:val="20"/>
          <w:lang w:val="en-GB"/>
        </w:rPr>
        <w:t xml:space="preserve">rug combinations are </w:t>
      </w:r>
      <w:r>
        <w:rPr>
          <w:rFonts w:ascii="Arial" w:hAnsi="Arial" w:cs="Arial"/>
          <w:color w:val="222222"/>
          <w:sz w:val="20"/>
          <w:szCs w:val="20"/>
          <w:lang w:val="en-GB"/>
        </w:rPr>
        <w:t>screened in order to develop second order linear regression models defining the relationship between drug combinations (i.e. drugs and corresponding doses)</w:t>
      </w:r>
      <w:r w:rsidRPr="00E84D95">
        <w:rPr>
          <w:rFonts w:ascii="Arial" w:hAnsi="Arial" w:cs="Arial"/>
          <w:color w:val="222222"/>
          <w:sz w:val="20"/>
          <w:szCs w:val="20"/>
          <w:lang w:val="en-GB"/>
        </w:rPr>
        <w:t xml:space="preserve"> </w:t>
      </w:r>
      <w:r>
        <w:rPr>
          <w:rFonts w:ascii="Arial" w:hAnsi="Arial" w:cs="Arial"/>
          <w:color w:val="222222"/>
          <w:sz w:val="20"/>
          <w:szCs w:val="20"/>
          <w:lang w:val="en-GB"/>
        </w:rPr>
        <w:t xml:space="preserve">and the output response of cell viability. Drug combinations to be screened are selected </w:t>
      </w:r>
      <w:r w:rsidR="002F1564" w:rsidRPr="00E84D95">
        <w:rPr>
          <w:rFonts w:ascii="Arial" w:hAnsi="Arial" w:cs="Arial"/>
          <w:color w:val="222222"/>
          <w:sz w:val="20"/>
          <w:szCs w:val="20"/>
          <w:lang w:val="en-GB"/>
        </w:rPr>
        <w:t xml:space="preserve">based on a statistical design of experiment approach </w:t>
      </w:r>
      <w:r>
        <w:rPr>
          <w:rFonts w:ascii="Arial" w:hAnsi="Arial" w:cs="Arial"/>
          <w:color w:val="222222"/>
          <w:sz w:val="20"/>
          <w:szCs w:val="20"/>
          <w:lang w:val="en-GB"/>
        </w:rPr>
        <w:t>using and design matrix, specifically an</w:t>
      </w:r>
      <w:r w:rsidRPr="00E84D95">
        <w:rPr>
          <w:rFonts w:ascii="Arial" w:hAnsi="Arial" w:cs="Arial"/>
          <w:color w:val="222222"/>
          <w:sz w:val="20"/>
          <w:szCs w:val="20"/>
          <w:lang w:val="en-GB"/>
        </w:rPr>
        <w:t xml:space="preserve"> </w:t>
      </w:r>
      <w:r w:rsidR="002F1564" w:rsidRPr="00E84D95">
        <w:rPr>
          <w:rFonts w:ascii="Arial" w:hAnsi="Arial" w:cs="Arial"/>
          <w:color w:val="222222"/>
          <w:sz w:val="20"/>
          <w:szCs w:val="20"/>
          <w:lang w:val="en-GB"/>
        </w:rPr>
        <w:t>orthogonal array composite design (OACD). Th</w:t>
      </w:r>
      <w:r>
        <w:rPr>
          <w:rFonts w:ascii="Arial" w:hAnsi="Arial" w:cs="Arial"/>
          <w:color w:val="222222"/>
          <w:sz w:val="20"/>
          <w:szCs w:val="20"/>
          <w:lang w:val="en-GB"/>
        </w:rPr>
        <w:t>is particular</w:t>
      </w:r>
      <w:r w:rsidR="002F1564" w:rsidRPr="00E84D95">
        <w:rPr>
          <w:rFonts w:ascii="Arial" w:hAnsi="Arial" w:cs="Arial"/>
          <w:color w:val="222222"/>
          <w:sz w:val="20"/>
          <w:szCs w:val="20"/>
          <w:lang w:val="en-GB"/>
        </w:rPr>
        <w:t xml:space="preserve"> design </w:t>
      </w:r>
      <w:r>
        <w:rPr>
          <w:rFonts w:ascii="Arial" w:hAnsi="Arial" w:cs="Arial"/>
          <w:color w:val="222222"/>
          <w:sz w:val="20"/>
          <w:szCs w:val="20"/>
          <w:lang w:val="en-GB"/>
        </w:rPr>
        <w:t>is composed of</w:t>
      </w:r>
      <w:r w:rsidR="002F1564" w:rsidRPr="00E84D95">
        <w:rPr>
          <w:rFonts w:ascii="Arial" w:hAnsi="Arial" w:cs="Arial"/>
          <w:color w:val="222222"/>
          <w:sz w:val="20"/>
          <w:szCs w:val="20"/>
          <w:lang w:val="en-GB"/>
        </w:rPr>
        <w:t xml:space="preserve"> a two-level factorial or fractional factorial design and a three-level orthogonal array</w:t>
      </w:r>
      <w:r w:rsidR="002F1564">
        <w:rPr>
          <w:rFonts w:ascii="Arial" w:hAnsi="Arial" w:cs="Arial"/>
          <w:color w:val="222222"/>
          <w:sz w:val="20"/>
          <w:szCs w:val="20"/>
          <w:lang w:val="en-GB"/>
        </w:rPr>
        <w:fldChar w:fldCharType="begin" w:fldLock="1"/>
      </w:r>
      <w:r w:rsidR="00452C63">
        <w:rPr>
          <w:rFonts w:ascii="Arial" w:hAnsi="Arial" w:cs="Arial"/>
          <w:color w:val="222222"/>
          <w:sz w:val="20"/>
          <w:szCs w:val="20"/>
          <w:lang w:val="en-GB"/>
        </w:rPr>
        <w:instrText>ADDIN CSL_CITATION { "citationItems" : [ { "id" : "ITEM-1", "itemData" : { "DOI" : "10.1038/srep14508", "ISSN" : "2045-2322", "PMID" : "26416286", "abstract" : "A major key to improvement of cancer therapy is the combination of drugs. Mixing drugs that already exist on the market may offer an attractive alternative. Here we report on a new model-based streamlined feedback system control (s-FSC) method, based on a design of experiment approach, for rapidly finding optimal drug mixtures with minimal experimental effort. We tested combinations in an in vitro assay for the viability of a renal cell adenocarcinoma (RCC) cell line, 786-O. An iterative cycle of in vitro testing and s-FSC analysis was repeated a few times until an optimal low dose combination was reached. Starting with ten drugs that target parallel pathways known to play a role in the development and progression of RCC, we identified the best overall drug combination, being a mixture of four drugs (axitinib, erlotinib, dasatinib and AZD4547) at low doses, inhibiting 90% of cell viability. The removal of AZD4547 from the optimized drug combination resulted in 80% of cell viability inhibition, while still maintaining the synergistic interaction. These optimized drug combinations were significantly more potent than monotherapies of all individual drugs (p\u2009&lt;\u20090.001, CI\u2009&lt;\u20090.3).", "author" : [ { "dropping-particle" : "", "family" : "Weiss", "given" : "Andrea", "non-dropping-particle" : "", "parse-names" : false, "suffix" : "" }, { "dropping-particle" : "", "family" : "Berndsen", "given" : "Robert H.", "non-dropping-particle" : "", "parse-names" : false, "suffix" : "" }, { "dropping-particle" : "", "family" : "Ding", "given" : "Xianting", "non-dropping-particle" : "", "parse-names" : false, "suffix" : "" }, { "dropping-particle" : "", "family" : "Ho", "given" : "Chih-Ming", "non-dropping-particle" : "", "parse-names" : false, "suffix" : "" }, { "dropping-particle" : "", "family" : "Dyson", "given" : "Paul J.", "non-dropping-particle" : "", "parse-names" : false, "suffix" : "" }, { "dropping-particle" : "", "family" : "Bergh", "given" : "Hubert", "non-dropping-particle" : "van den", "parse-names" : false, "suffix" : "" }, { "dropping-particle" : "", "family" : "Griffioen", "given" : "Arjan W.", "non-dropping-particle" : "", "parse-names" : false, "suffix" : "" }, { "dropping-particle" : "", "family" : "Nowak-Sliwinska", "given" : "Patrycja", "non-dropping-particle" : "", "parse-names" : false, "suffix" : "" } ], "container-title" : "Scientific Reports", "id" : "ITEM-1", "issue" : "1", "issued" : { "date-parts" : [ [ "2015", "11", "29" ] ] }, "page" : "14508", "title" : "A streamlined search technology for identification of synergistic drug combinations", "type" : "article-journal", "volume" : "5" }, "uris" : [ "http://www.mendeley.com/documents/?uuid=af41c46a-f339-3bc7-9c44-694fc3e58007" ] }, { "id" : "ITEM-2", "itemData" : { "DOI" : "10.1038/nprot.2016.017", "ISSN" : "1754-2189", "PMID" : "26766116", "abstract" : "We describe a protocol for the discovery of synergistic drug combinations for the treatment of disease. Synergistic drug combinations lead to the use of drugs at lower doses, which reduces side effects and can potentially lead to reduced drug resistance, while being clinically more effective than the individual drugs. To cope with the extremely large search space for these combinations, we developed an efficient combinatorial drug screening method called the Feedback System Control (FSC) technique. Starting with a broad selection of drugs, the method follows an iterative approach of experimental testing in a relevant bioassay and analysis of the results by FSC. First, the protocol uses a cell viability assay to generate broad dose-response curves to assess the efficacy of individual compounds. These curves are then used to guide the dosage input of each drug to be tested in combination. Data from applied drug combinations are input into the differential evolution (DE) algorithm, which predicts new combinations to be tested in vitro. This process identifies optimal drug-dose combinations, while saving orders of magnitude in experimental effort. The complete optimization process is estimated to take \u223c4 weeks. FSC does not require insight into the disease mechanism, and it has therefore been applied to find combination therapies for many different pathologies, including cancer and infectious diseases, and it has also been used in organ transplantation.", "author" : [ { "dropping-particle" : "", "family" : "Nowak-Sliwinska", "given" : "Patrycja", "non-dropping-particle" : "", "parse-names" : false, "suffix" : "" }, { "dropping-particle" : "", "family" : "Weiss", "given" : "Andrea", "non-dropping-particle" : "", "parse-names" : false, "suffix" : "" }, { "dropping-particle" : "", "family" : "Ding", "given" : "Xianting", "non-dropping-particle" : "", "parse-names" : false, "suffix" : "" }, { "dropping-particle" : "", "family" : "Dyson", "given" : "Paul J", "non-dropping-particle" : "", "parse-names" : false, "suffix" : "" }, { "dropping-particle" : "", "family" : "Bergh", "given" : "Hubert", "non-dropping-particle" : "van den", "parse-names" : false, "suffix" : "" }, { "dropping-particle" : "", "family" : "Griffioen", "given" : "Arjan W", "non-dropping-particle" : "", "parse-names" : false, "suffix" : "" }, { "dropping-particle" : "", "family" : "Ho", "given" : "Chih-Ming", "non-dropping-particle" : "", "parse-names" : false, "suffix" : "" } ], "container-title" : "Nature Protocols", "id" : "ITEM-2", "issue" : "2", "issued" : { "date-parts" : [ [ "2016", "2", "14" ] ] }, "page" : "302-315", "title" : "Optimization of drug combinations using Feedback System Control", "type" : "article-journal", "volume" : "11" }, "uris" : [ "http://www.mendeley.com/documents/?uuid=e4b919b9-1c2f-3231-9545-cde9202dbeed" ] } ], "mendeley" : { "formattedCitation" : "[17,18]", "plainTextFormattedCitation" : "[17,18]", "previouslyFormattedCitation" : "[17,18]" }, "properties" : { "noteIndex" : 0 }, "schema" : "https://github.com/citation-style-language/schema/raw/master/csl-citation.json" }</w:instrText>
      </w:r>
      <w:r w:rsidR="002F1564">
        <w:rPr>
          <w:rFonts w:ascii="Arial" w:hAnsi="Arial" w:cs="Arial"/>
          <w:color w:val="222222"/>
          <w:sz w:val="20"/>
          <w:szCs w:val="20"/>
          <w:lang w:val="en-GB"/>
        </w:rPr>
        <w:fldChar w:fldCharType="separate"/>
      </w:r>
      <w:r w:rsidR="00452C63" w:rsidRPr="00452C63">
        <w:rPr>
          <w:rFonts w:ascii="Arial" w:hAnsi="Arial" w:cs="Arial"/>
          <w:noProof/>
          <w:color w:val="222222"/>
          <w:sz w:val="20"/>
          <w:szCs w:val="20"/>
          <w:lang w:val="en-GB"/>
        </w:rPr>
        <w:t>[17,18]</w:t>
      </w:r>
      <w:r w:rsidR="002F1564">
        <w:rPr>
          <w:rFonts w:ascii="Arial" w:hAnsi="Arial" w:cs="Arial"/>
          <w:color w:val="222222"/>
          <w:sz w:val="20"/>
          <w:szCs w:val="20"/>
          <w:lang w:val="en-GB"/>
        </w:rPr>
        <w:fldChar w:fldCharType="end"/>
      </w:r>
      <w:r w:rsidR="002F1564" w:rsidRPr="00E84D95">
        <w:rPr>
          <w:rFonts w:ascii="Arial" w:hAnsi="Arial" w:cs="Arial"/>
          <w:color w:val="222222"/>
          <w:sz w:val="20"/>
          <w:szCs w:val="20"/>
          <w:lang w:val="en-GB"/>
        </w:rPr>
        <w:t xml:space="preserve">. </w:t>
      </w:r>
      <w:r>
        <w:rPr>
          <w:rFonts w:ascii="Arial" w:hAnsi="Arial" w:cs="Arial"/>
          <w:color w:val="222222"/>
          <w:sz w:val="20"/>
          <w:szCs w:val="20"/>
          <w:lang w:val="en-GB"/>
        </w:rPr>
        <w:t>Using these drug combinations and their corresponding efficacy as data points, r</w:t>
      </w:r>
      <w:r w:rsidR="002F1564" w:rsidRPr="00E84D95">
        <w:rPr>
          <w:rFonts w:ascii="Arial" w:hAnsi="Arial" w:cs="Arial"/>
          <w:color w:val="222222"/>
          <w:sz w:val="20"/>
          <w:szCs w:val="20"/>
          <w:lang w:val="en-GB"/>
        </w:rPr>
        <w:t xml:space="preserve">egression analysis </w:t>
      </w:r>
      <w:r>
        <w:rPr>
          <w:rFonts w:ascii="Arial" w:hAnsi="Arial" w:cs="Arial"/>
          <w:color w:val="222222"/>
          <w:sz w:val="20"/>
          <w:szCs w:val="20"/>
          <w:lang w:val="en-GB"/>
        </w:rPr>
        <w:t>is</w:t>
      </w:r>
      <w:r w:rsidR="002F1564" w:rsidRPr="00E84D95">
        <w:rPr>
          <w:rFonts w:ascii="Arial" w:hAnsi="Arial" w:cs="Arial"/>
          <w:color w:val="222222"/>
          <w:sz w:val="20"/>
          <w:szCs w:val="20"/>
          <w:lang w:val="en-GB"/>
        </w:rPr>
        <w:t xml:space="preserve"> performed </w:t>
      </w:r>
      <w:r>
        <w:rPr>
          <w:rFonts w:ascii="Arial" w:hAnsi="Arial" w:cs="Arial"/>
          <w:color w:val="222222"/>
          <w:sz w:val="20"/>
          <w:szCs w:val="20"/>
          <w:lang w:val="en-GB"/>
        </w:rPr>
        <w:t xml:space="preserve">using </w:t>
      </w:r>
      <w:proofErr w:type="spellStart"/>
      <w:r>
        <w:rPr>
          <w:rFonts w:ascii="Arial" w:hAnsi="Arial" w:cs="Arial"/>
          <w:color w:val="222222"/>
          <w:sz w:val="20"/>
          <w:szCs w:val="20"/>
          <w:lang w:val="en-GB"/>
        </w:rPr>
        <w:t>Matlab</w:t>
      </w:r>
      <w:proofErr w:type="spellEnd"/>
      <w:r>
        <w:rPr>
          <w:rFonts w:ascii="Arial" w:hAnsi="Arial" w:cs="Arial"/>
          <w:color w:val="222222"/>
          <w:sz w:val="20"/>
          <w:szCs w:val="20"/>
          <w:lang w:val="en-GB"/>
        </w:rPr>
        <w:t xml:space="preserve">® </w:t>
      </w:r>
      <w:r w:rsidR="002F1564" w:rsidRPr="00E84D95">
        <w:rPr>
          <w:rFonts w:ascii="Arial" w:hAnsi="Arial" w:cs="Arial"/>
          <w:color w:val="222222"/>
          <w:sz w:val="20"/>
          <w:szCs w:val="20"/>
          <w:lang w:val="en-GB"/>
        </w:rPr>
        <w:t>based on a stepwise linear regression model with the following form:</w:t>
      </w:r>
    </w:p>
    <w:p w:rsidR="002F1564" w:rsidRPr="00E84D95" w:rsidRDefault="0016371D" w:rsidP="00945FA0">
      <w:pPr>
        <w:pStyle w:val="Gemiddeldraster21"/>
        <w:spacing w:line="480" w:lineRule="auto"/>
        <w:ind w:firstLine="720"/>
        <w:rPr>
          <w:rFonts w:ascii="Arial" w:hAnsi="Arial" w:cs="Arial"/>
          <w:sz w:val="20"/>
          <w:szCs w:val="20"/>
          <w:lang w:val="en-US"/>
        </w:rPr>
      </w:pPr>
      <w:r>
        <w:rPr>
          <w:rFonts w:ascii="Arial" w:hAnsi="Arial" w:cs="Arial"/>
          <w:noProof/>
          <w:color w:val="222222"/>
          <w:sz w:val="20"/>
          <w:szCs w:val="20"/>
          <w:lang w:val="en-GB" w:eastAsia="en-GB"/>
        </w:rPr>
        <w:lastRenderedPageBreak/>
        <w:drawing>
          <wp:inline distT="0" distB="0" distL="0" distR="0" wp14:anchorId="6F49350C" wp14:editId="6684EDF1">
            <wp:extent cx="3200400" cy="505460"/>
            <wp:effectExtent l="0" t="0" r="0" b="8890"/>
            <wp:docPr id="1" name="Afbeelding 2" descr="https://media.nature.com/full/nature-assets/srep/2015/150929/srep14508/images/srep14508-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https://media.nature.com/full/nature-assets/srep/2015/150929/srep14508/images/srep14508-m1.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505460"/>
                    </a:xfrm>
                    <a:prstGeom prst="rect">
                      <a:avLst/>
                    </a:prstGeom>
                    <a:noFill/>
                    <a:ln>
                      <a:noFill/>
                    </a:ln>
                  </pic:spPr>
                </pic:pic>
              </a:graphicData>
            </a:graphic>
          </wp:inline>
        </w:drawing>
      </w:r>
      <w:r w:rsidR="002F1564" w:rsidRPr="00E84D95">
        <w:rPr>
          <w:rFonts w:ascii="Arial" w:hAnsi="Arial" w:cs="Arial"/>
          <w:color w:val="222222"/>
          <w:sz w:val="20"/>
          <w:szCs w:val="20"/>
          <w:lang w:val="en-GB"/>
        </w:rPr>
        <w:t xml:space="preserve">where </w:t>
      </w:r>
      <w:r w:rsidR="002F1564" w:rsidRPr="00E84D95">
        <w:rPr>
          <w:rFonts w:ascii="Arial" w:hAnsi="Arial" w:cs="Arial"/>
          <w:color w:val="222222"/>
          <w:sz w:val="20"/>
          <w:szCs w:val="20"/>
        </w:rPr>
        <w:t>β</w:t>
      </w:r>
      <w:r w:rsidR="002F1564" w:rsidRPr="00E84D95">
        <w:rPr>
          <w:rFonts w:ascii="Arial" w:hAnsi="Arial" w:cs="Arial"/>
          <w:color w:val="222222"/>
          <w:sz w:val="20"/>
          <w:szCs w:val="20"/>
          <w:vertAlign w:val="subscript"/>
          <w:lang w:val="en-GB"/>
        </w:rPr>
        <w:t>0</w:t>
      </w:r>
      <w:r w:rsidR="002F1564" w:rsidRPr="00E84D95">
        <w:rPr>
          <w:rFonts w:ascii="Arial" w:hAnsi="Arial" w:cs="Arial"/>
          <w:color w:val="222222"/>
          <w:sz w:val="20"/>
          <w:szCs w:val="20"/>
          <w:lang w:val="en-GB"/>
        </w:rPr>
        <w:t xml:space="preserve">, </w:t>
      </w:r>
      <w:r w:rsidR="002F1564" w:rsidRPr="00E84D95">
        <w:rPr>
          <w:rFonts w:ascii="Arial" w:hAnsi="Arial" w:cs="Arial"/>
          <w:color w:val="222222"/>
          <w:sz w:val="20"/>
          <w:szCs w:val="20"/>
        </w:rPr>
        <w:t>β</w:t>
      </w:r>
      <w:proofErr w:type="spellStart"/>
      <w:r w:rsidR="002F1564" w:rsidRPr="00E84D95">
        <w:rPr>
          <w:rFonts w:ascii="Arial" w:hAnsi="Arial" w:cs="Arial"/>
          <w:color w:val="222222"/>
          <w:sz w:val="20"/>
          <w:szCs w:val="20"/>
          <w:vertAlign w:val="subscript"/>
          <w:lang w:val="en-GB"/>
        </w:rPr>
        <w:t>i</w:t>
      </w:r>
      <w:proofErr w:type="spellEnd"/>
      <w:r w:rsidR="002F1564" w:rsidRPr="00E84D95">
        <w:rPr>
          <w:rFonts w:ascii="Arial" w:hAnsi="Arial" w:cs="Arial"/>
          <w:color w:val="222222"/>
          <w:sz w:val="20"/>
          <w:szCs w:val="20"/>
          <w:vertAlign w:val="subscript"/>
          <w:lang w:val="en-GB"/>
        </w:rPr>
        <w:t>,</w:t>
      </w:r>
      <w:r w:rsidR="002F1564" w:rsidRPr="00E84D95">
        <w:rPr>
          <w:rFonts w:ascii="Arial" w:hAnsi="Arial" w:cs="Arial"/>
          <w:color w:val="222222"/>
          <w:sz w:val="20"/>
          <w:szCs w:val="20"/>
          <w:lang w:val="en-GB"/>
        </w:rPr>
        <w:t> </w:t>
      </w:r>
      <w:r w:rsidR="002F1564" w:rsidRPr="00E84D95">
        <w:rPr>
          <w:rFonts w:ascii="Arial" w:hAnsi="Arial" w:cs="Arial"/>
          <w:color w:val="222222"/>
          <w:sz w:val="20"/>
          <w:szCs w:val="20"/>
        </w:rPr>
        <w:t>β</w:t>
      </w:r>
      <w:r w:rsidR="002F1564" w:rsidRPr="00E84D95">
        <w:rPr>
          <w:rFonts w:ascii="Arial" w:hAnsi="Arial" w:cs="Arial"/>
          <w:color w:val="222222"/>
          <w:sz w:val="20"/>
          <w:szCs w:val="20"/>
          <w:vertAlign w:val="subscript"/>
          <w:lang w:val="en-GB"/>
        </w:rPr>
        <w:t>ii</w:t>
      </w:r>
      <w:r w:rsidR="002F1564" w:rsidRPr="00E84D95">
        <w:rPr>
          <w:rFonts w:ascii="Arial" w:hAnsi="Arial" w:cs="Arial"/>
          <w:color w:val="222222"/>
          <w:sz w:val="20"/>
          <w:szCs w:val="20"/>
          <w:lang w:val="en-GB"/>
        </w:rPr>
        <w:t xml:space="preserve"> and </w:t>
      </w:r>
      <w:r w:rsidR="002F1564" w:rsidRPr="00E84D95">
        <w:rPr>
          <w:rFonts w:ascii="Arial" w:hAnsi="Arial" w:cs="Arial"/>
          <w:color w:val="222222"/>
          <w:sz w:val="20"/>
          <w:szCs w:val="20"/>
        </w:rPr>
        <w:t>β</w:t>
      </w:r>
      <w:proofErr w:type="spellStart"/>
      <w:r w:rsidR="002F1564" w:rsidRPr="00E84D95">
        <w:rPr>
          <w:rFonts w:ascii="Arial" w:hAnsi="Arial" w:cs="Arial"/>
          <w:color w:val="222222"/>
          <w:sz w:val="20"/>
          <w:szCs w:val="20"/>
          <w:vertAlign w:val="subscript"/>
          <w:lang w:val="en-GB"/>
        </w:rPr>
        <w:t>ij</w:t>
      </w:r>
      <w:proofErr w:type="spellEnd"/>
      <w:r w:rsidR="002F1564" w:rsidRPr="00E84D95">
        <w:rPr>
          <w:rFonts w:ascii="Arial" w:hAnsi="Arial" w:cs="Arial"/>
          <w:color w:val="222222"/>
          <w:sz w:val="20"/>
          <w:szCs w:val="20"/>
          <w:lang w:val="en-GB"/>
        </w:rPr>
        <w:t xml:space="preserve"> are the intercept, linear, quadratic and bilinear (or interaction) terms, respectively; </w:t>
      </w:r>
      <w:r w:rsidR="005F25A2">
        <w:rPr>
          <w:rFonts w:ascii="Arial" w:hAnsi="Arial" w:cs="Arial"/>
          <w:color w:val="222222"/>
          <w:sz w:val="20"/>
          <w:szCs w:val="20"/>
          <w:lang w:val="en-GB"/>
        </w:rPr>
        <w:t>y</w:t>
      </w:r>
      <w:r w:rsidR="002F1564" w:rsidRPr="00E84D95">
        <w:rPr>
          <w:rFonts w:ascii="Arial" w:hAnsi="Arial" w:cs="Arial"/>
          <w:color w:val="222222"/>
          <w:sz w:val="20"/>
          <w:szCs w:val="20"/>
          <w:lang w:val="en-GB"/>
        </w:rPr>
        <w:t xml:space="preserve"> is the response variable (i.e. cell </w:t>
      </w:r>
      <w:r w:rsidR="005F25A2">
        <w:rPr>
          <w:rFonts w:ascii="Arial" w:hAnsi="Arial" w:cs="Arial"/>
          <w:color w:val="222222"/>
          <w:sz w:val="20"/>
          <w:szCs w:val="20"/>
          <w:lang w:val="en-GB"/>
        </w:rPr>
        <w:t>metabolic activity, represented</w:t>
      </w:r>
      <w:r w:rsidR="005F25A2" w:rsidRPr="00E84D95">
        <w:rPr>
          <w:rFonts w:ascii="Arial" w:hAnsi="Arial" w:cs="Arial"/>
          <w:color w:val="222222"/>
          <w:sz w:val="20"/>
          <w:szCs w:val="20"/>
          <w:lang w:val="en-GB"/>
        </w:rPr>
        <w:t xml:space="preserve"> </w:t>
      </w:r>
      <w:r w:rsidR="002F1564" w:rsidRPr="00E84D95">
        <w:rPr>
          <w:rFonts w:ascii="Arial" w:hAnsi="Arial" w:cs="Arial"/>
          <w:color w:val="222222"/>
          <w:sz w:val="20"/>
          <w:szCs w:val="20"/>
          <w:lang w:val="en-GB"/>
        </w:rPr>
        <w:t xml:space="preserve">as </w:t>
      </w:r>
      <w:r w:rsidR="005F25A2">
        <w:rPr>
          <w:rFonts w:ascii="Arial" w:hAnsi="Arial" w:cs="Arial"/>
          <w:color w:val="222222"/>
          <w:sz w:val="20"/>
          <w:szCs w:val="20"/>
          <w:lang w:val="en-GB"/>
        </w:rPr>
        <w:t xml:space="preserve">a </w:t>
      </w:r>
      <w:r w:rsidR="002F1564" w:rsidRPr="00E84D95">
        <w:rPr>
          <w:rFonts w:ascii="Arial" w:hAnsi="Arial" w:cs="Arial"/>
          <w:color w:val="222222"/>
          <w:sz w:val="20"/>
          <w:szCs w:val="20"/>
          <w:lang w:val="en-GB"/>
        </w:rPr>
        <w:t>percent</w:t>
      </w:r>
      <w:r w:rsidR="005F25A2">
        <w:rPr>
          <w:rFonts w:ascii="Arial" w:hAnsi="Arial" w:cs="Arial"/>
          <w:color w:val="222222"/>
          <w:sz w:val="20"/>
          <w:szCs w:val="20"/>
          <w:lang w:val="en-GB"/>
        </w:rPr>
        <w:t>age</w:t>
      </w:r>
      <w:r w:rsidR="002F1564" w:rsidRPr="00E84D95">
        <w:rPr>
          <w:rFonts w:ascii="Arial" w:hAnsi="Arial" w:cs="Arial"/>
          <w:color w:val="222222"/>
          <w:sz w:val="20"/>
          <w:szCs w:val="20"/>
          <w:lang w:val="en-GB"/>
        </w:rPr>
        <w:t xml:space="preserve"> of </w:t>
      </w:r>
      <w:r w:rsidR="005F25A2">
        <w:rPr>
          <w:rFonts w:ascii="Arial" w:hAnsi="Arial" w:cs="Arial"/>
          <w:color w:val="222222"/>
          <w:sz w:val="20"/>
          <w:szCs w:val="20"/>
          <w:lang w:val="en-GB"/>
        </w:rPr>
        <w:t xml:space="preserve">the </w:t>
      </w:r>
      <w:r w:rsidR="002F1564" w:rsidRPr="00E84D95">
        <w:rPr>
          <w:rFonts w:ascii="Arial" w:hAnsi="Arial" w:cs="Arial"/>
          <w:color w:val="222222"/>
          <w:sz w:val="20"/>
          <w:szCs w:val="20"/>
          <w:lang w:val="en-GB"/>
        </w:rPr>
        <w:t>control); x</w:t>
      </w:r>
      <w:r w:rsidR="002F1564" w:rsidRPr="00E84D95">
        <w:rPr>
          <w:rFonts w:ascii="Arial" w:hAnsi="Arial" w:cs="Arial"/>
          <w:color w:val="222222"/>
          <w:sz w:val="20"/>
          <w:szCs w:val="20"/>
          <w:vertAlign w:val="subscript"/>
          <w:lang w:val="en-GB"/>
        </w:rPr>
        <w:t>i</w:t>
      </w:r>
      <w:r w:rsidR="002F1564" w:rsidRPr="00E84D95">
        <w:rPr>
          <w:rFonts w:ascii="Arial" w:hAnsi="Arial" w:cs="Arial"/>
          <w:color w:val="222222"/>
          <w:sz w:val="20"/>
          <w:szCs w:val="20"/>
          <w:lang w:val="en-GB"/>
        </w:rPr>
        <w:t xml:space="preserve"> and </w:t>
      </w:r>
      <w:proofErr w:type="spellStart"/>
      <w:r w:rsidR="002F1564" w:rsidRPr="00E84D95">
        <w:rPr>
          <w:rFonts w:ascii="Arial" w:hAnsi="Arial" w:cs="Arial"/>
          <w:color w:val="222222"/>
          <w:sz w:val="20"/>
          <w:szCs w:val="20"/>
          <w:lang w:val="en-GB"/>
        </w:rPr>
        <w:t>x</w:t>
      </w:r>
      <w:r w:rsidR="002F1564" w:rsidRPr="00E84D95">
        <w:rPr>
          <w:rFonts w:ascii="Arial" w:hAnsi="Arial" w:cs="Arial"/>
          <w:color w:val="222222"/>
          <w:sz w:val="20"/>
          <w:szCs w:val="20"/>
          <w:vertAlign w:val="subscript"/>
          <w:lang w:val="en-GB"/>
        </w:rPr>
        <w:t>j</w:t>
      </w:r>
      <w:proofErr w:type="spellEnd"/>
      <w:r w:rsidR="002F1564" w:rsidRPr="00E84D95">
        <w:rPr>
          <w:rFonts w:ascii="Arial" w:hAnsi="Arial" w:cs="Arial"/>
          <w:color w:val="222222"/>
          <w:sz w:val="20"/>
          <w:szCs w:val="20"/>
          <w:lang w:val="en-GB"/>
        </w:rPr>
        <w:t xml:space="preserve"> are independent variables (i.e. drug combinations </w:t>
      </w:r>
      <w:r w:rsidR="005F25A2">
        <w:rPr>
          <w:rFonts w:ascii="Arial" w:hAnsi="Arial" w:cs="Arial"/>
          <w:color w:val="222222"/>
          <w:sz w:val="20"/>
          <w:szCs w:val="20"/>
          <w:lang w:val="en-GB"/>
        </w:rPr>
        <w:t>composed of drugs and corresponding drug doses</w:t>
      </w:r>
      <w:r w:rsidR="002F1564" w:rsidRPr="00E84D95">
        <w:rPr>
          <w:rFonts w:ascii="Arial" w:hAnsi="Arial" w:cs="Arial"/>
          <w:color w:val="222222"/>
          <w:sz w:val="20"/>
          <w:szCs w:val="20"/>
          <w:lang w:val="en-GB"/>
        </w:rPr>
        <w:t xml:space="preserve">); </w:t>
      </w:r>
      <w:r w:rsidR="002F1564" w:rsidRPr="00E84D95">
        <w:rPr>
          <w:rFonts w:ascii="Arial" w:hAnsi="Arial" w:cs="Arial"/>
          <w:color w:val="222222"/>
          <w:sz w:val="20"/>
          <w:szCs w:val="20"/>
        </w:rPr>
        <w:t>ε</w:t>
      </w:r>
      <w:r w:rsidR="002F1564" w:rsidRPr="00E84D95">
        <w:rPr>
          <w:rFonts w:ascii="Arial" w:hAnsi="Arial" w:cs="Arial"/>
          <w:color w:val="222222"/>
          <w:sz w:val="20"/>
          <w:szCs w:val="20"/>
          <w:lang w:val="en-GB"/>
        </w:rPr>
        <w:t xml:space="preserve"> is an error term with a mean equal to zero. Data </w:t>
      </w:r>
      <w:r w:rsidR="005F25A2">
        <w:rPr>
          <w:rFonts w:ascii="Arial" w:hAnsi="Arial" w:cs="Arial"/>
          <w:color w:val="222222"/>
          <w:sz w:val="20"/>
          <w:szCs w:val="20"/>
          <w:lang w:val="en-GB"/>
        </w:rPr>
        <w:t>is</w:t>
      </w:r>
      <w:r w:rsidR="005F25A2" w:rsidRPr="00E84D95">
        <w:rPr>
          <w:rFonts w:ascii="Arial" w:hAnsi="Arial" w:cs="Arial"/>
          <w:color w:val="222222"/>
          <w:sz w:val="20"/>
          <w:szCs w:val="20"/>
          <w:lang w:val="en-GB"/>
        </w:rPr>
        <w:t xml:space="preserve"> </w:t>
      </w:r>
      <w:r w:rsidR="00D92DB1" w:rsidRPr="00E84D95">
        <w:rPr>
          <w:rFonts w:ascii="Arial" w:hAnsi="Arial" w:cs="Arial"/>
          <w:color w:val="222222"/>
          <w:sz w:val="20"/>
          <w:szCs w:val="20"/>
          <w:lang w:val="en-GB"/>
        </w:rPr>
        <w:t>modelled</w:t>
      </w:r>
      <w:r w:rsidR="002F1564" w:rsidRPr="00E84D95">
        <w:rPr>
          <w:rFonts w:ascii="Arial" w:hAnsi="Arial" w:cs="Arial"/>
          <w:color w:val="222222"/>
          <w:sz w:val="20"/>
          <w:szCs w:val="20"/>
          <w:lang w:val="en-GB"/>
        </w:rPr>
        <w:t xml:space="preserve"> using coded concentration values and data was not transformed. </w:t>
      </w:r>
      <w:r w:rsidR="002F1564" w:rsidRPr="00E84D95">
        <w:rPr>
          <w:rFonts w:ascii="Arial" w:hAnsi="Arial" w:cs="Arial"/>
          <w:sz w:val="20"/>
          <w:szCs w:val="20"/>
          <w:lang w:val="en-US"/>
        </w:rPr>
        <w:t>Supplementary table S1.</w:t>
      </w:r>
      <w:r w:rsidR="00DD45F1">
        <w:rPr>
          <w:rFonts w:ascii="Arial" w:hAnsi="Arial" w:cs="Arial"/>
          <w:sz w:val="20"/>
          <w:szCs w:val="20"/>
          <w:lang w:val="en-US"/>
        </w:rPr>
        <w:t>2</w:t>
      </w:r>
      <w:r w:rsidR="00DD45F1" w:rsidRPr="00E84D95">
        <w:rPr>
          <w:rFonts w:ascii="Arial" w:hAnsi="Arial" w:cs="Arial"/>
          <w:sz w:val="20"/>
          <w:szCs w:val="20"/>
          <w:lang w:val="en-US"/>
        </w:rPr>
        <w:t xml:space="preserve"> </w:t>
      </w:r>
      <w:r w:rsidR="002F1564" w:rsidRPr="00E84D95">
        <w:rPr>
          <w:rFonts w:ascii="Arial" w:hAnsi="Arial" w:cs="Arial"/>
          <w:sz w:val="20"/>
          <w:szCs w:val="20"/>
          <w:lang w:val="en-US"/>
        </w:rPr>
        <w:t>states the drug doses (IC</w:t>
      </w:r>
      <w:r w:rsidR="002F1564" w:rsidRPr="00A94847">
        <w:rPr>
          <w:rFonts w:ascii="Arial" w:hAnsi="Arial" w:cs="Arial"/>
          <w:sz w:val="20"/>
          <w:szCs w:val="20"/>
          <w:vertAlign w:val="subscript"/>
          <w:lang w:val="en-US"/>
        </w:rPr>
        <w:t>20</w:t>
      </w:r>
      <w:r w:rsidR="002F1564" w:rsidRPr="00E84D95">
        <w:rPr>
          <w:rFonts w:ascii="Arial" w:hAnsi="Arial" w:cs="Arial"/>
          <w:sz w:val="20"/>
          <w:szCs w:val="20"/>
          <w:lang w:val="en-US"/>
        </w:rPr>
        <w:t>) that were used for each cell line in the s-FSC</w:t>
      </w:r>
      <w:r w:rsidR="005F25A2">
        <w:rPr>
          <w:rFonts w:ascii="Arial" w:hAnsi="Arial" w:cs="Arial"/>
          <w:sz w:val="20"/>
          <w:szCs w:val="20"/>
          <w:lang w:val="en-US"/>
        </w:rPr>
        <w:t xml:space="preserve"> procedure</w:t>
      </w:r>
      <w:r w:rsidR="002F1564" w:rsidRPr="00E84D95">
        <w:rPr>
          <w:rFonts w:ascii="Arial" w:hAnsi="Arial" w:cs="Arial"/>
          <w:sz w:val="20"/>
          <w:szCs w:val="20"/>
          <w:lang w:val="en-US"/>
        </w:rPr>
        <w:t>.</w:t>
      </w:r>
    </w:p>
    <w:p w:rsidR="00274F24" w:rsidRDefault="00274F24" w:rsidP="00945FA0">
      <w:pPr>
        <w:pStyle w:val="Geenafstand"/>
        <w:spacing w:line="480" w:lineRule="auto"/>
        <w:rPr>
          <w:rFonts w:ascii="Arial" w:hAnsi="Arial" w:cs="Arial"/>
          <w:i/>
          <w:color w:val="222222"/>
          <w:shd w:val="clear" w:color="auto" w:fill="FFFFFF"/>
        </w:rPr>
      </w:pPr>
    </w:p>
    <w:p w:rsidR="00274F24" w:rsidRDefault="00274F24" w:rsidP="00945FA0">
      <w:pPr>
        <w:pStyle w:val="Geenafstand"/>
        <w:spacing w:line="480" w:lineRule="auto"/>
        <w:rPr>
          <w:rFonts w:ascii="Arial" w:hAnsi="Arial" w:cs="Arial"/>
          <w:i/>
          <w:color w:val="222222"/>
          <w:shd w:val="clear" w:color="auto" w:fill="FFFFFF"/>
        </w:rPr>
      </w:pPr>
      <w:r>
        <w:rPr>
          <w:rFonts w:ascii="Arial" w:hAnsi="Arial" w:cs="Arial"/>
          <w:i/>
          <w:color w:val="222222"/>
          <w:shd w:val="clear" w:color="auto" w:fill="FFFFFF"/>
        </w:rPr>
        <w:t>3D spheroid culture</w:t>
      </w:r>
    </w:p>
    <w:p w:rsidR="00274F24" w:rsidRPr="00E84D95" w:rsidRDefault="00274F24" w:rsidP="00945FA0">
      <w:pPr>
        <w:pStyle w:val="Geenafstand"/>
        <w:spacing w:line="480" w:lineRule="auto"/>
        <w:ind w:firstLine="720"/>
        <w:rPr>
          <w:rFonts w:ascii="Arial" w:hAnsi="Arial" w:cs="Arial"/>
          <w:lang w:val="en-US"/>
        </w:rPr>
      </w:pPr>
      <w:r>
        <w:rPr>
          <w:rFonts w:ascii="Arial" w:hAnsi="Arial" w:cs="Arial"/>
          <w:lang w:val="en-US"/>
        </w:rPr>
        <w:t>H</w:t>
      </w:r>
      <w:r w:rsidRPr="00E84D95">
        <w:rPr>
          <w:rFonts w:ascii="Arial" w:hAnsi="Arial" w:cs="Arial"/>
          <w:lang w:val="en-US"/>
        </w:rPr>
        <w:t>eterotypic 3D co-cultures were obtained by mixing the RCC cells with HDFA in a ratio of 3:1 (4500 and 1500 cells</w:t>
      </w:r>
      <w:r>
        <w:rPr>
          <w:rFonts w:ascii="Arial" w:hAnsi="Arial" w:cs="Arial"/>
          <w:lang w:val="en-US"/>
        </w:rPr>
        <w:t>,</w:t>
      </w:r>
      <w:r w:rsidRPr="00E84D95">
        <w:rPr>
          <w:rFonts w:ascii="Arial" w:hAnsi="Arial" w:cs="Arial"/>
          <w:lang w:val="en-US"/>
        </w:rPr>
        <w:t xml:space="preserve"> respectively), followed by addition of 10% HUVEC (600 cells) per spheroid. Cells were suspended in cell-repellent 96-well round-bottom plates (650970, Greiner Bio-One) in 100ul medium containing 2.5% Matrigel (354230, Corning). Plates were centrifuged for 5 minutes at 400g to collect the cells at the bottom to initiate spheroid formation. Where indicated, monoculture spheroids consisting of solely RCC were produced with 600</w:t>
      </w:r>
      <w:r>
        <w:rPr>
          <w:rFonts w:ascii="Arial" w:hAnsi="Arial" w:cs="Arial"/>
          <w:lang w:val="en-US"/>
        </w:rPr>
        <w:t>0</w:t>
      </w:r>
      <w:r w:rsidRPr="00E84D95">
        <w:rPr>
          <w:rFonts w:ascii="Arial" w:hAnsi="Arial" w:cs="Arial"/>
          <w:lang w:val="en-US"/>
        </w:rPr>
        <w:t xml:space="preserve"> cells. After 24 hours, treatment was started for 72 h</w:t>
      </w:r>
      <w:r>
        <w:rPr>
          <w:rFonts w:ascii="Arial" w:hAnsi="Arial" w:cs="Arial"/>
          <w:lang w:val="en-US"/>
        </w:rPr>
        <w:t>ou</w:t>
      </w:r>
      <w:r w:rsidRPr="00E84D95">
        <w:rPr>
          <w:rFonts w:ascii="Arial" w:hAnsi="Arial" w:cs="Arial"/>
          <w:lang w:val="en-US"/>
        </w:rPr>
        <w:t xml:space="preserve">rs. </w:t>
      </w:r>
    </w:p>
    <w:p w:rsidR="00274F24" w:rsidRDefault="00274F24" w:rsidP="00945FA0">
      <w:pPr>
        <w:pStyle w:val="Geenafstand"/>
        <w:spacing w:line="480" w:lineRule="auto"/>
        <w:rPr>
          <w:rFonts w:ascii="Arial" w:hAnsi="Arial" w:cs="Arial"/>
          <w:i/>
          <w:color w:val="222222"/>
          <w:shd w:val="clear" w:color="auto" w:fill="FFFFFF"/>
        </w:rPr>
      </w:pPr>
    </w:p>
    <w:p w:rsidR="00274F24" w:rsidRPr="003853A5" w:rsidRDefault="00274F24" w:rsidP="00945FA0">
      <w:pPr>
        <w:pStyle w:val="Geenafstand"/>
        <w:spacing w:line="480" w:lineRule="auto"/>
        <w:rPr>
          <w:rFonts w:ascii="Arial" w:hAnsi="Arial" w:cs="Arial"/>
          <w:color w:val="222222"/>
          <w:shd w:val="clear" w:color="auto" w:fill="FFFFFF"/>
        </w:rPr>
      </w:pPr>
      <w:r w:rsidRPr="00E84D95">
        <w:rPr>
          <w:rFonts w:ascii="Arial" w:hAnsi="Arial" w:cs="Arial"/>
          <w:i/>
          <w:color w:val="222222"/>
          <w:shd w:val="clear" w:color="auto" w:fill="FFFFFF"/>
        </w:rPr>
        <w:t>Cell cycle analysis and apoptosis</w:t>
      </w:r>
      <w:r>
        <w:rPr>
          <w:rFonts w:ascii="Arial" w:hAnsi="Arial" w:cs="Arial"/>
          <w:i/>
          <w:color w:val="222222"/>
          <w:shd w:val="clear" w:color="auto" w:fill="FFFFFF"/>
        </w:rPr>
        <w:t xml:space="preserve"> </w:t>
      </w:r>
    </w:p>
    <w:p w:rsidR="00274F24" w:rsidRPr="00606E41" w:rsidRDefault="00274F24" w:rsidP="00945FA0">
      <w:pPr>
        <w:pStyle w:val="Geenafstand"/>
        <w:spacing w:line="480" w:lineRule="auto"/>
        <w:ind w:firstLine="720"/>
        <w:rPr>
          <w:rFonts w:ascii="Arial" w:hAnsi="Arial" w:cs="Arial"/>
          <w:i/>
        </w:rPr>
      </w:pPr>
      <w:r>
        <w:rPr>
          <w:rFonts w:ascii="Arial" w:hAnsi="Arial" w:cs="Arial"/>
          <w:color w:val="222222"/>
          <w:shd w:val="clear" w:color="auto" w:fill="FFFFFF"/>
        </w:rPr>
        <w:t>Cell cycle distribution was assessed based on flow cytometry analysis of cellular DNA content as previously described</w:t>
      </w:r>
      <w:r>
        <w:rPr>
          <w:rFonts w:ascii="Arial" w:hAnsi="Arial" w:cs="Arial"/>
          <w:color w:val="222222"/>
          <w:shd w:val="clear" w:color="auto" w:fill="FFFFFF"/>
        </w:rPr>
        <w:fldChar w:fldCharType="begin" w:fldLock="1"/>
      </w:r>
      <w:r w:rsidR="00452C63">
        <w:rPr>
          <w:rFonts w:ascii="Arial" w:hAnsi="Arial" w:cs="Arial"/>
          <w:color w:val="222222"/>
          <w:shd w:val="clear" w:color="auto" w:fill="FFFFFF"/>
        </w:rPr>
        <w:instrText>ADDIN CSL_CITATION { "citationItems" : [ { "id" : "ITEM-1", "itemData" : { "DOI" : "10.1007/s10456-018-9613-x", "ISSN" : "1573-7209", "PMID" : "29766399", "abstract" : "The formation of new blood vessels, or angiogenesis, is a complex process that plays important roles in growth and development, tissue and organ regeneration, as well as numerous pathological conditions. Angiogenesis undergoes multiple discrete steps that can be individually evaluated and quantified by a large number of bioassays. These independent assessments hold advantages but also have limitations. This article describes in vivo, ex vivo, and in vitro bioassays that are available for the evaluation of angiogenesis and highlights critical aspects that are relevant for their execution and proper interpretation. As such, this collaborative work is the first edition of consensus guidelines on angiogenesis bioassays to serve for current and future reference.", "author" : [ { "dropping-particle" : "", "family" : "Nowak-Sliwinska", "given" : "Patrycja", "non-dropping-particle" : "", "parse-names" : false, "suffix" : "" }, { "dropping-particle" : "", "family" : "Alitalo", "given" : "Kari", "non-dropping-particle" : "", "parse-names" : false, "suffix" : "" }, { "dropping-particle" : "", "family" : "Allen", "given" : "Elizabeth", "non-dropping-particle" : "", "parse-names" : false, "suffix" : "" }, { "dropping-particle" : "", "family" : "Anisimov", "given" : "Andrey", "non-dropping-particle" : "", "parse-names" : false, "suffix" : "" }, { "dropping-particle" : "", "family" : "Aplin", "given" : "Alfred C", "non-dropping-particle" : "", "parse-names" : false, "suffix" : "" }, { "dropping-particle" : "", "family" : "Auerbach", "given" : "Robert", "non-dropping-particle" : "", "parse-names" : false, "suffix" : "" }, { "dropping-particle" : "", "family" : "Augustin", "given" : "Hellmut G", "non-dropping-particle" : "", "parse-names" : false, "suffix" : "" }, { "dropping-particle" : "", "family" : "Bates", "given" : "David O", "non-dropping-particle" : "", "parse-names" : false, "suffix" : "" }, { "dropping-particle" : "", "family" : "Beijnum", "given" : "Judy R", "non-dropping-particle" : "van", "parse-names" : false, "suffix" : "" }, { "dropping-particle" : "", "family" : "Bender", "given" : "R Hugh F", "non-dropping-particle" : "", "parse-names" : false, "suffix" : "" }, { "dropping-particle" : "", "family" : "Bergers", "given" : "Gabriele", "non-dropping-particle" : "", "parse-names" : false, "suffix" : "" }, { "dropping-particle" : "", "family" : "Bikfalvi", "given" : "Andreas", "non-dropping-particle" : "", "parse-names" : false, "suffix" : "" }, { "dropping-particle" : "", "family" : "Bischoff", "given" : "Joyce", "non-dropping-particle" : "", "parse-names" : false, "suffix" : "" }, { "dropping-particle" : "", "family" : "B\u00f6ck", "given" : "Barbara C", "non-dropping-particle" : "", "parse-names" : false, "suffix" : "" }, { "dropping-particle" : "", "family" : "Brooks", "given" : "Peter C", "non-dropping-particle" : "", "parse-names" : false, "suffix" : "" }, { "dropping-particle" : "", "family" : "Bussolino", "given" : "Federico", "non-dropping-particle" : "", "parse-names" : false, "suffix" : "" }, { "dropping-particle" : "", "family" : "Cakir", "given" : "Bertan", "non-dropping-particle" : "", "parse-names" : false, "suffix" : "" }, { "dropping-particle" : "", "family" : "Carmeliet", "given" : "Peter", "non-dropping-particle" : "", "parse-names" : false, "suffix" : "" }, { "dropping-particle" : "", "family" : "Castranova", "given" : "Daniel", "non-dropping-particle" : "", "parse-names" : false, "suffix" : "" }, { "dropping-particle" : "", "family" : "Cimpean", "given" : "Anca M", "non-dropping-particle" : "", "parse-names" : false, "suffix" : "" }, { "dropping-particle" : "", "family" : "Cleaver", "given" : "Ondine", "non-dropping-particle" : "", "parse-names" : false, "suffix" : "" }, { "dropping-particle" : "", "family" : "Coukos", "given" : "George", "non-dropping-particle" : "", "parse-names" : false, "suffix" : "" }, { "dropping-particle" : "", "family" : "Davis", "given" : "George E", "non-dropping-particle" : "", "parse-names" : false, "suffix" : "" }, { "dropping-particle" : "", "family" : "Palma", "given" : "Michele", "non-dropping-particle" : "De", "parse-names" : false, "suffix" : "" }, { "dropping-particle" : "", "family" : "Dimberg", "given" : "Anna", "non-dropping-particle" : "", "parse-names" : false, "suffix" : "" }, { "dropping-particle" : "", "family" : "Dings", "given" : "Ruud P M", "non-dropping-particle" : "", "parse-names" : false, "suffix" : "" }, { "dropping-particle" : "", "family" : "Djonov", "given" : "Valentin", "non-dropping-particle" : "", "parse-names" : false, "suffix" : "" }, { "dropping-particle" : "", "family" : "Dudley", "given" : "Andrew C", "non-dropping-particle" : "", "parse-names" : false, "suffix" : "" }, { "dropping-particle" : "", "family" : "Dufton", "given" : "Neil P", "non-dropping-particle" : "", "parse-names" : false, "suffix" : "" }, { "dropping-particle" : "", "family" : "Fendt", "given" : "Sarah-Maria", "non-dropping-particle" : "", "parse-names" : false, "suffix" : "" }, { "dropping-particle" : "", "family" : "Ferrara", "given" : "Napoleone", "non-dropping-particle" : "", "parse-names" : false, "suffix" : "" }, { "dropping-particle" : "", "family" : "Fruttiger", "given" : "Marcus", "non-dropping-particle" : "", "parse-names" : false, "suffix" : "" }, { "dropping-particle" : "", "family" : "Fukumura", "given" : "Dai", "non-dropping-particle" : "", "parse-names" : false, "suffix" : "" }, { "dropping-particle" : "", "family" : "Ghesqui\u00e8re", "given" : "Bart", "non-dropping-particle" : "", "parse-names" : false, "suffix" : "" }, { "dropping-particle" : "", "family" : "Gong", "given" : "Yan", "non-dropping-particle" : "", "parse-names" : false, "suffix" : "" }, { "dropping-particle" : "", "family" : "Griffin", "given" : "Robert J", "non-dropping-particle" : "", "parse-names" : false, "suffix" : "" }, { "dropping-particle" : "", "family" : "Harris", "given" : "Adrian L", "non-dropping-particle" : "", "parse-names" : false, "suffix" : "" }, { "dropping-particle" : "", "family" : "Hughes", "given" : "Christopher C W", "non-dropping-particle" : "", "parse-names" : false, "suffix" : "" }, { "dropping-particle" : "", "family" : "Hultgren", "given" : "Nan W", "non-dropping-particle" : "", "parse-names" : false, "suffix" : "" }, { "dropping-particle" : "", "family" : "Iruela-Arispe", "given" : "M Luisa", "non-dropping-particle" : "", "parse-names" : false, "suffix" : "" }, { "dropping-particle" : "", "family" : "Irving", "given" : "Melita", "non-dropping-particle" : "", "parse-names" : false, "suffix" : "" }, { "dropping-particle" : "", "family" : "Jain", "given" : "Rakesh K", "non-dropping-particle" : "", "parse-names" : false, "suffix" : "" }, { "dropping-particle" : "", "family" : "Kalluri", "given" : "Raghu", "non-dropping-particle" : "", "parse-names" : false, "suffix" : "" }, { "dropping-particle" : "", "family" : "Kalucka", "given" : "Joanna", "non-dropping-particle" : "", "parse-names" : false, "suffix" : "" }, { "dropping-particle" : "", "family" : "Kerbel", "given" : "Robert S", "non-dropping-particle" : "", "parse-names" : false, "suffix" : "" }, { "dropping-particle" : "", "family" : "Kitajewski", "given" : "Jan", "non-dropping-particle" : "", "parse-names" : false, "suffix" : "" }, { "dropping-particle" : "", "family" : "Klaassen", "given" : "Ingeborg", "non-dropping-particle" : "", "parse-names" : false, "suffix" : "" }, { "dropping-particle" : "", "family" : "Kleinmann", "given" : "Hynda K", "non-dropping-particle" : "", "parse-names" : false, "suffix" : "" }, { "dropping-particle" : "", "family" : "Koolwijk", "given" : "Pieter", "non-dropping-particle" : "", "parse-names" : false, "suffix" : "" }, { "dropping-particle" : "", "family" : "Kuczynski", "given" : "Elisabeth", "non-dropping-particle" : "", "parse-names" : false, "suffix" : "" }, { "dropping-particle" : "", "family" : "Kwak", "given" : "Brenda R", "non-dropping-particle" : "", "parse-names" : false, "suffix" : "" }, { "dropping-particle" : "", "family" : "Marien", "given" : "Koen", "non-dropping-particle" : "", "parse-names" : false, "suffix" : "" }, { "dropping-particle" : "", "family" : "Melero-Martin", "given" : "Juan M", "non-dropping-particle" : "", "parse-names" : false, "suffix" : "" }, { "dropping-particle" : "", "family" : "Munn", "given" : "Lance L", "non-dropping-particle" : "", "parse-names" : false, "suffix" : "" }, { "dropping-particle" : "", "family" : "Nicosia", "given" : "Roberto F", "non-dropping-particle" : "", "parse-names" : false, "suffix" : "" }, { "dropping-particle" : "", "family" : "Noel", "given" : "Agnes", "non-dropping-particle" : "", "parse-names" : false, "suffix" : "" }, { "dropping-particle" : "", "family" : "Nurro", "given" : "Jussi", "non-dropping-particle" : "", "parse-names" : false, "suffix" : "" }, { "dropping-particle" : "", "family" : "Olsson", "given" : "Anna-Karin", "non-dropping-particle" : "", "parse-names" : false, "suffix" : "" }, { "dropping-particle" : "V", "family" : "Petrova", "given" : "Tatiana", "non-dropping-particle" : "", "parse-names" : false, "suffix" : "" }, { "dropping-particle" : "", "family" : "Pietras", "given" : "Kristian", "non-dropping-particle" : "", "parse-names" : false, "suffix" : "" }, { "dropping-particle" : "", "family" : "Pili", "given" : "Roberto", "non-dropping-particle" : "", "parse-names" : false, "suffix" : "" }, { "dropping-particle" : "", "family" : "Pollard", "given" : "Jeffrey W", "non-dropping-particle" : "", "parse-names" : false, "suffix" : "" }, { "dropping-particle" : "", "family" : "Post", "given" : "Mark J", "non-dropping-particle" : "", "parse-names" : false, "suffix" : "" }, { "dropping-particle" : "", "family" : "Quax", "given" : "Paul H A", "non-dropping-particle" : "", "parse-names" : false, "suffix" : "" }, { "dropping-particle" : "", "family" : "Rabinovich", "given" : "Gabriel A", "non-dropping-particle" : "", "parse-names" : false, "suffix" : "" }, { "dropping-particle" : "", "family" : "Raica", "given" : "Marius", "non-dropping-particle" : "", "parse-names" : false, "suffix" : "" }, { "dropping-particle" : "", "family" : "Randi", "given" : "Anna M", "non-dropping-particle" : "", "parse-names" : false, "suffix" : "" }, { "dropping-particle" : "", "family" : "Ribatti", "given" : "Domenico", "non-dropping-particle" : "", "parse-names" : false, "suffix" : "" }, { "dropping-particle" : "", "family" : "Ruegg", "given" : "Curzio", "non-dropping-particle" : "", "parse-names" : false, "suffix" : "" }, { "dropping-particle" : "", "family" : "Schlingemann", "given" : "Reinier O", "non-dropping-particle" : "", "parse-names" : false, "suffix" : "" }, { "dropping-particle" : "", "family" : "Schulte-Merker", "given" : "Stefan", "non-dropping-particle" : "", "parse-names" : false, "suffix" : "" }, { "dropping-particle" : "", "family" : "Smith", "given" : "Lois E H", "non-dropping-particle" : "", "parse-names" : false, "suffix" : "" }, { "dropping-particle" : "", "family" : "Song", "given" : "Jonathan W", "non-dropping-particle" : "", "parse-names" : false, "suffix" : "" }, { "dropping-particle" : "", "family" : "Stacker", "given" : "Steven A", "non-dropping-particle" : "", "parse-names" : false, "suffix" : "" }, { "dropping-particle" : "", "family" : "Stalin", "given" : "Jimmy", "non-dropping-particle" : "", "parse-names" : false, "suffix" : "" }, { "dropping-particle" : "", "family" : "Stratman", "given" : "Amber N", "non-dropping-particle" : "", "parse-names" : false, "suffix" : "" }, { "dropping-particle" : "", "family" : "Velde", "given" : "Maureen", "non-dropping-particle" : "Van de", "parse-names" : false, "suffix" : "" }, { "dropping-particle" : "", "family" : "Hinsbergh", "given" : "Victor W M", "non-dropping-particle" : "van", "parse-names" : false, "suffix" : "" }, { "dropping-particle" : "", "family" : "Vermeulen", "given" : "Peter B", "non-dropping-particle" : "", "parse-names" : false, "suffix" : "" }, { "dropping-particle" : "", "family" : "Waltenberger", "given" : "Johannes", "non-dropping-particle" : "", "parse-names" : false, "suffix" : "" }, { "dropping-particle" : "", "family" : "Weinstein", "given" : "Brant M", "non-dropping-particle" : "", "parse-names" : false, "suffix" : "" }, { "dropping-particle" : "", "family" : "Xin", "given" : "Hong", "non-dropping-particle" : "", "parse-names" : false, "suffix" : "" }, { "dropping-particle" : "", "family" : "Yetkin-Arik", "given" : "Bahar", "non-dropping-particle" : "", "parse-names" : false, "suffix" : "" }, { "dropping-particle" : "", "family" : "Yla-Herttuala", "given" : "Seppo", "non-dropping-particle" : "", "parse-names" : false, "suffix" : "" }, { "dropping-particle" : "", "family" : "Yoder", "given" : "Mervin C", "non-dropping-particle" : "", "parse-names" : false, "suffix" : "" }, { "dropping-particle" : "", "family" : "Griffioen", "given" : "Arjan W", "non-dropping-particle" : "", "parse-names" : false, "suffix" : "" } ], "container-title" : "Angiogenesis", "id" : "ITEM-1", "issued" : { "date-parts" : [ [ "2018", "5", "15" ] ] }, "title" : "Consensus guidelines for the use and interpretation of angiogenesis assays.", "type" : "article-journal" }, "uris" : [ "http://www.mendeley.com/documents/?uuid=720edbb7-b4eb-384f-8525-006d46baee14" ] } ], "mendeley" : { "formattedCitation" : "[19]", "plainTextFormattedCitation" : "[19]", "previouslyFormattedCitation" : "[19]" }, "properties" : { "noteIndex" : 0 }, "schema" : "https://github.com/citation-style-language/schema/raw/master/csl-citation.json" }</w:instrText>
      </w:r>
      <w:r>
        <w:rPr>
          <w:rFonts w:ascii="Arial" w:hAnsi="Arial" w:cs="Arial"/>
          <w:color w:val="222222"/>
          <w:shd w:val="clear" w:color="auto" w:fill="FFFFFF"/>
        </w:rPr>
        <w:fldChar w:fldCharType="separate"/>
      </w:r>
      <w:r w:rsidR="00452C63" w:rsidRPr="00452C63">
        <w:rPr>
          <w:rFonts w:ascii="Arial" w:hAnsi="Arial" w:cs="Arial"/>
          <w:noProof/>
          <w:color w:val="222222"/>
          <w:shd w:val="clear" w:color="auto" w:fill="FFFFFF"/>
        </w:rPr>
        <w:t>[19]</w:t>
      </w:r>
      <w:r>
        <w:rPr>
          <w:rFonts w:ascii="Arial" w:hAnsi="Arial" w:cs="Arial"/>
          <w:color w:val="222222"/>
          <w:shd w:val="clear" w:color="auto" w:fill="FFFFFF"/>
        </w:rPr>
        <w:fldChar w:fldCharType="end"/>
      </w:r>
      <w:r>
        <w:rPr>
          <w:rFonts w:ascii="Arial" w:hAnsi="Arial" w:cs="Arial"/>
          <w:color w:val="222222"/>
          <w:shd w:val="clear" w:color="auto" w:fill="FFFFFF"/>
        </w:rPr>
        <w:t>. RCC and EC-RF24 cells were seeded in a 24-well plate at 20-40 × 10</w:t>
      </w:r>
      <w:r>
        <w:rPr>
          <w:rFonts w:ascii="Arial" w:hAnsi="Arial" w:cs="Arial"/>
          <w:color w:val="222222"/>
          <w:shd w:val="clear" w:color="auto" w:fill="FFFFFF"/>
          <w:vertAlign w:val="superscript"/>
        </w:rPr>
        <w:t>3</w:t>
      </w:r>
      <w:r>
        <w:rPr>
          <w:rFonts w:ascii="Arial" w:hAnsi="Arial" w:cs="Arial"/>
          <w:color w:val="222222"/>
          <w:shd w:val="clear" w:color="auto" w:fill="FFFFFF"/>
        </w:rPr>
        <w:t xml:space="preserve"> cells/well and after 24 h medium was replaced with drug containing medium. After 72 h incubation, cells were harvested and fixed in 70% ethanol for 2 h at -20 </w:t>
      </w:r>
      <w:r>
        <w:rPr>
          <w:rFonts w:ascii="Arial" w:hAnsi="Arial" w:cs="Arial"/>
          <w:color w:val="000000"/>
          <w:lang w:val="en-US"/>
        </w:rPr>
        <w:t>°C.</w:t>
      </w:r>
      <w:r>
        <w:rPr>
          <w:rFonts w:ascii="Arial" w:hAnsi="Arial" w:cs="Arial"/>
          <w:color w:val="222222"/>
          <w:shd w:val="clear" w:color="auto" w:fill="FFFFFF"/>
        </w:rPr>
        <w:t xml:space="preserve"> </w:t>
      </w:r>
      <w:r>
        <w:rPr>
          <w:rFonts w:ascii="Arial" w:hAnsi="Arial" w:cs="Arial"/>
          <w:color w:val="000000"/>
          <w:lang w:val="en-US"/>
        </w:rPr>
        <w:t>Cell pellets were resuspended in DNA extraction buffer (90 parts 0.05 M Na</w:t>
      </w:r>
      <w:r>
        <w:rPr>
          <w:rFonts w:ascii="Arial" w:hAnsi="Arial" w:cs="Arial"/>
          <w:color w:val="000000"/>
          <w:position w:val="-6"/>
          <w:lang w:val="en-US"/>
        </w:rPr>
        <w:t>2</w:t>
      </w:r>
      <w:r>
        <w:rPr>
          <w:rFonts w:ascii="Arial" w:hAnsi="Arial" w:cs="Arial"/>
          <w:color w:val="000000"/>
          <w:lang w:val="en-US"/>
        </w:rPr>
        <w:t>HPO</w:t>
      </w:r>
      <w:r>
        <w:rPr>
          <w:rFonts w:ascii="Arial" w:hAnsi="Arial" w:cs="Arial"/>
          <w:color w:val="000000"/>
          <w:position w:val="-6"/>
          <w:lang w:val="en-US"/>
        </w:rPr>
        <w:t>4</w:t>
      </w:r>
      <w:r>
        <w:rPr>
          <w:rFonts w:ascii="Arial" w:hAnsi="Arial" w:cs="Arial"/>
          <w:color w:val="000000"/>
          <w:lang w:val="en-US"/>
        </w:rPr>
        <w:t xml:space="preserve">, 10 parts 0.025 M citric acid and 1 part 10% Triton-X100, pH 7.4) and incubated for 20 min at 37 °C. Propidium iodide (PI, 20 </w:t>
      </w:r>
      <w:proofErr w:type="spellStart"/>
      <w:r>
        <w:rPr>
          <w:rFonts w:ascii="Arial" w:hAnsi="Arial" w:cs="Arial"/>
          <w:color w:val="000000"/>
          <w:lang w:val="en-US"/>
        </w:rPr>
        <w:t>μg</w:t>
      </w:r>
      <w:proofErr w:type="spellEnd"/>
      <w:r>
        <w:rPr>
          <w:rFonts w:ascii="Arial" w:hAnsi="Arial" w:cs="Arial"/>
          <w:color w:val="000000"/>
          <w:lang w:val="en-US"/>
        </w:rPr>
        <w:t xml:space="preserve">/ml) was added and </w:t>
      </w:r>
      <w:r>
        <w:rPr>
          <w:rFonts w:ascii="Arial" w:hAnsi="Arial" w:cs="Arial"/>
          <w:color w:val="222222"/>
          <w:shd w:val="clear" w:color="auto" w:fill="FFFFFF"/>
        </w:rPr>
        <w:t xml:space="preserve">analysis was performed </w:t>
      </w:r>
      <w:r>
        <w:rPr>
          <w:rFonts w:ascii="Arial" w:hAnsi="Arial" w:cs="Arial"/>
          <w:color w:val="000000"/>
          <w:lang w:val="en-US"/>
        </w:rPr>
        <w:t>on a FACS</w:t>
      </w:r>
      <w:r w:rsidR="00702738">
        <w:rPr>
          <w:rFonts w:ascii="Arial" w:hAnsi="Arial" w:cs="Arial"/>
          <w:color w:val="000000"/>
          <w:lang w:val="en-US"/>
        </w:rPr>
        <w:t xml:space="preserve"> </w:t>
      </w:r>
      <w:proofErr w:type="spellStart"/>
      <w:r>
        <w:rPr>
          <w:rFonts w:ascii="Arial" w:hAnsi="Arial" w:cs="Arial"/>
          <w:color w:val="000000"/>
          <w:lang w:val="en-US"/>
        </w:rPr>
        <w:t>Calibur</w:t>
      </w:r>
      <w:proofErr w:type="spellEnd"/>
      <w:r>
        <w:rPr>
          <w:rFonts w:ascii="Arial" w:hAnsi="Arial" w:cs="Arial"/>
          <w:color w:val="000000"/>
          <w:lang w:val="en-US"/>
        </w:rPr>
        <w:t xml:space="preserve"> flow cytometer (BD Biosciences) in the FL2 channel. DNA content was quantified with </w:t>
      </w:r>
      <w:proofErr w:type="spellStart"/>
      <w:r>
        <w:rPr>
          <w:rFonts w:ascii="Arial" w:hAnsi="Arial" w:cs="Arial"/>
          <w:color w:val="000000"/>
          <w:lang w:val="en-US"/>
        </w:rPr>
        <w:t>CellQuest</w:t>
      </w:r>
      <w:proofErr w:type="spellEnd"/>
      <w:r>
        <w:rPr>
          <w:rFonts w:ascii="Arial" w:hAnsi="Arial" w:cs="Arial"/>
          <w:color w:val="000000"/>
          <w:lang w:val="en-US"/>
        </w:rPr>
        <w:t xml:space="preserve"> Pro software (BD Biosciences). </w:t>
      </w:r>
      <w:r>
        <w:rPr>
          <w:rFonts w:ascii="Arial" w:hAnsi="Arial" w:cs="Arial"/>
          <w:color w:val="222222"/>
          <w:shd w:val="clear" w:color="auto" w:fill="FFFFFF"/>
        </w:rPr>
        <w:t>DNA content was defined as 4N (G2/M phase), 2N (G1/G0) or in between (S), and apoptotic cells were defined by subG1 DNA staining.</w:t>
      </w:r>
    </w:p>
    <w:p w:rsidR="00274F24" w:rsidRDefault="00274F24" w:rsidP="00945FA0">
      <w:pPr>
        <w:spacing w:after="0" w:line="480" w:lineRule="auto"/>
        <w:rPr>
          <w:rFonts w:ascii="Arial" w:hAnsi="Arial" w:cs="Arial"/>
          <w:b/>
          <w:sz w:val="20"/>
          <w:szCs w:val="20"/>
        </w:rPr>
      </w:pPr>
    </w:p>
    <w:p w:rsidR="00274F24" w:rsidRPr="004570FE" w:rsidRDefault="00274F24" w:rsidP="00945FA0">
      <w:pPr>
        <w:spacing w:after="0" w:line="480" w:lineRule="auto"/>
        <w:rPr>
          <w:rFonts w:ascii="Arial" w:hAnsi="Arial" w:cs="Arial"/>
          <w:sz w:val="20"/>
          <w:szCs w:val="20"/>
        </w:rPr>
      </w:pPr>
      <w:r w:rsidRPr="00E84D95">
        <w:rPr>
          <w:rFonts w:ascii="Arial" w:hAnsi="Arial" w:cs="Arial"/>
          <w:i/>
          <w:sz w:val="20"/>
          <w:szCs w:val="20"/>
        </w:rPr>
        <w:t xml:space="preserve">Western blot </w:t>
      </w:r>
    </w:p>
    <w:p w:rsidR="00274F24" w:rsidRPr="00E84D95" w:rsidRDefault="00274F24" w:rsidP="00945FA0">
      <w:pPr>
        <w:spacing w:after="0" w:line="480" w:lineRule="auto"/>
        <w:ind w:firstLine="720"/>
        <w:rPr>
          <w:rFonts w:ascii="Arial" w:hAnsi="Arial" w:cs="Arial"/>
          <w:sz w:val="20"/>
          <w:szCs w:val="20"/>
          <w:lang w:eastAsia="en-GB"/>
        </w:rPr>
      </w:pPr>
      <w:r w:rsidRPr="00E84D95">
        <w:rPr>
          <w:rFonts w:ascii="Arial" w:hAnsi="Arial" w:cs="Arial"/>
          <w:sz w:val="20"/>
          <w:szCs w:val="20"/>
          <w:lang w:eastAsia="en-GB"/>
        </w:rPr>
        <w:t>Cells were cultured to near confluence before treatment with drugs for 2 or 24 hours. Cells were lysed in lysis buffer containing protease and phosphatase inh</w:t>
      </w:r>
      <w:r>
        <w:rPr>
          <w:rFonts w:ascii="Arial" w:hAnsi="Arial" w:cs="Arial"/>
          <w:sz w:val="20"/>
          <w:szCs w:val="20"/>
          <w:lang w:eastAsia="en-GB"/>
        </w:rPr>
        <w:t>ibitors as previously described</w:t>
      </w:r>
      <w:r w:rsidRPr="00E84D95">
        <w:rPr>
          <w:rFonts w:ascii="Arial" w:hAnsi="Arial" w:cs="Arial"/>
          <w:sz w:val="20"/>
          <w:szCs w:val="20"/>
          <w:lang w:eastAsia="en-GB"/>
        </w:rPr>
        <w:fldChar w:fldCharType="begin" w:fldLock="1"/>
      </w:r>
      <w:r w:rsidR="00452C63">
        <w:rPr>
          <w:rFonts w:ascii="Arial" w:hAnsi="Arial" w:cs="Arial"/>
          <w:sz w:val="20"/>
          <w:szCs w:val="20"/>
          <w:lang w:eastAsia="en-GB"/>
        </w:rPr>
        <w:instrText>ADDIN CSL_CITATION { "citationItems" : [ { "id" : "ITEM-1", "itemData" : { "DOI" : "10.1002/ijc.30022", "ISSN" : "00207136", "PMID" : "26815723", "abstract" : "Mass spectrometry-based phosphoproteomics provides a unique unbiased approach to evaluate signaling network in cancer cells. The tyrosine kinase inhibitor sunitinib is registered as treatment for patients with renal cell cancer (RCC). We investigated the effect of sunitinib on tyrosine phosphorylation in RCC tumor cells to get more insight in its mechanism of action and thereby to find potential leads for combination treatment strategies. Sunitinib inhibitory concentrations of proliferation (IC50) of 786-O, 769-p and A498 RCC cells were determined by MTT-assays. Global tyrosine phosphorylation was measured by LC-MS/MS after immunoprecipitation with the antiphosphotyrosine antibody p-TYR-100. Phosphoproteomic profiling of 786-O cells yielded 1519 phosphopeptides, corresponding to 675 unique proteins including 57 different phosphorylated protein kinases. Compared to control, incubation with sunitinib at its IC50 of 2 \u00b5M resulted in downregulation of 86 phosphopeptides including CDK5, DYRK3, DYRK4, G6PD, PKM and LDH-A, while 94 phosphopeptides including Axl, FAK, EPHA2 and p38\u03b1 were upregulated. Axl- (y702), FAK- (y576) and p38\u03b1 (y182) upregulation was confirmed by Western Blot in 786-O and A498 cells. Subsequent proliferation assays revealed that inhibition of Axl with a small molecule inhibitor (R428) sensitized 786-O RCC cells and immortalized endothelial cells to sunitinib up to 3 fold. In conclusion, incubation with sunitinib of RCC cells causes significant upregulation of multiple phosphopeptides including Axl. Simultaneous inhibition of Axl improves the antitumor activity of sunitinib. We envision that evaluation of phosphoproteomic changes by TKI treatment enables identification of new targets for combination treatment strategies.", "author" : [ { "dropping-particle" : "", "family" : "Mijn", "given" : "Johannes C.", "non-dropping-particle" : "van der", "parse-names" : false, "suffix" : "" }, { "dropping-particle" : "", "family" : "Broxterman", "given" : "Henk J.", "non-dropping-particle" : "", "parse-names" : false, "suffix" : "" }, { "dropping-particle" : "", "family" : "Knol", "given" : "Jaco C.", "non-dropping-particle" : "", "parse-names" : false, "suffix" : "" }, { "dropping-particle" : "", "family" : "Piersma", "given" : "Sander R.", "non-dropping-particle" : "", "parse-names" : false, "suffix" : "" }, { "dropping-particle" : "", "family" : "Haas", "given" : "Richard R.", "non-dropping-particle" : "De", "parse-names" : false, "suffix" : "" }, { "dropping-particle" : "", "family" : "Dekker", "given" : "Henk", "non-dropping-particle" : "", "parse-names" : false, "suffix" : "" }, { "dropping-particle" : "V.", "family" : "Pham", "given" : "Thang", "non-dropping-particle" : "", "parse-names" : false, "suffix" : "" }, { "dropping-particle" : "", "family" : "Beusechem", "given" : "Victor W.", "non-dropping-particle" : "Van", "parse-names" : false, "suffix" : "" }, { "dropping-particle" : "", "family" : "Halmos", "given" : "Balazs", "non-dropping-particle" : "", "parse-names" : false, "suffix" : "" }, { "dropping-particle" : "", "family" : "Mier", "given" : "James W.", "non-dropping-particle" : "", "parse-names" : false, "suffix" : "" }, { "dropping-particle" : "", "family" : "Jim\u00e9nez", "given" : "Connie R.", "non-dropping-particle" : "", "parse-names" : false, "suffix" : "" }, { "dropping-particle" : "", "family" : "Verheul", "given" : "Henk M.W.", "non-dropping-particle" : "", "parse-names" : false, "suffix" : "" } ], "container-title" : "International Journal of Cancer", "id" : "ITEM-1", "issue" : "12", "issued" : { "date-parts" : [ [ "2016", "6", "15" ] ] }, "page" : "3002-3010", "title" : "Sunitinib activates Axl signaling in renal cell cancer", "type" : "article-journal", "volume" : "138" }, "uris" : [ "http://www.mendeley.com/documents/?uuid=598d8bcd-9a95-3d10-b12d-ce6b239b56ac" ] } ], "mendeley" : { "formattedCitation" : "[20]", "plainTextFormattedCitation" : "[20]", "previouslyFormattedCitation" : "[20]" }, "properties" : { "noteIndex" : 0 }, "schema" : "https://github.com/citation-style-language/schema/raw/master/csl-citation.json" }</w:instrText>
      </w:r>
      <w:r w:rsidRPr="00E84D95">
        <w:rPr>
          <w:rFonts w:ascii="Arial" w:hAnsi="Arial" w:cs="Arial"/>
          <w:sz w:val="20"/>
          <w:szCs w:val="20"/>
          <w:lang w:eastAsia="en-GB"/>
        </w:rPr>
        <w:fldChar w:fldCharType="separate"/>
      </w:r>
      <w:r w:rsidR="00452C63" w:rsidRPr="00452C63">
        <w:rPr>
          <w:rFonts w:ascii="Arial" w:hAnsi="Arial" w:cs="Arial"/>
          <w:noProof/>
          <w:sz w:val="20"/>
          <w:szCs w:val="20"/>
          <w:lang w:eastAsia="en-GB"/>
        </w:rPr>
        <w:t>[20]</w:t>
      </w:r>
      <w:r w:rsidRPr="00E84D95">
        <w:rPr>
          <w:rFonts w:ascii="Arial" w:hAnsi="Arial" w:cs="Arial"/>
          <w:sz w:val="20"/>
          <w:szCs w:val="20"/>
          <w:lang w:eastAsia="en-GB"/>
        </w:rPr>
        <w:fldChar w:fldCharType="end"/>
      </w:r>
      <w:r w:rsidRPr="00E84D95">
        <w:rPr>
          <w:rFonts w:ascii="Arial" w:hAnsi="Arial" w:cs="Arial"/>
          <w:sz w:val="20"/>
          <w:szCs w:val="20"/>
          <w:lang w:eastAsia="en-GB"/>
        </w:rPr>
        <w:t xml:space="preserve">. </w:t>
      </w:r>
    </w:p>
    <w:p w:rsidR="00274F24" w:rsidRPr="00E84D95" w:rsidRDefault="00274F24" w:rsidP="00945FA0">
      <w:pPr>
        <w:spacing w:after="0" w:line="480" w:lineRule="auto"/>
        <w:rPr>
          <w:rFonts w:ascii="Arial" w:hAnsi="Arial" w:cs="Arial"/>
          <w:sz w:val="20"/>
          <w:szCs w:val="20"/>
          <w:lang w:eastAsia="en-GB"/>
        </w:rPr>
      </w:pPr>
      <w:r w:rsidRPr="00E84D95">
        <w:rPr>
          <w:rFonts w:ascii="Arial" w:hAnsi="Arial" w:cs="Arial"/>
          <w:sz w:val="20"/>
          <w:szCs w:val="20"/>
          <w:lang w:eastAsia="en-GB"/>
        </w:rPr>
        <w:t>Protein concentrations were evaluated in lysates using Bradford assay or micro BCA protein assay (</w:t>
      </w:r>
      <w:proofErr w:type="spellStart"/>
      <w:r w:rsidRPr="00E84D95">
        <w:rPr>
          <w:rFonts w:ascii="Arial" w:hAnsi="Arial" w:cs="Arial"/>
          <w:sz w:val="20"/>
          <w:szCs w:val="20"/>
          <w:lang w:eastAsia="en-GB"/>
        </w:rPr>
        <w:t>Thermo</w:t>
      </w:r>
      <w:proofErr w:type="spellEnd"/>
      <w:r w:rsidRPr="00E84D95">
        <w:rPr>
          <w:rFonts w:ascii="Arial" w:hAnsi="Arial" w:cs="Arial"/>
          <w:sz w:val="20"/>
          <w:szCs w:val="20"/>
          <w:lang w:eastAsia="en-GB"/>
        </w:rPr>
        <w:t xml:space="preserve"> Fischer Scientific, Waltham, MA, USA). Fifteen to fifty µg of proteins per condition was separated on 4-12% polyacrylamide gels (Invitrogen, Waltham, MA, USA) and transferred to a polyvinylidene difluoride membrane. Odyssey blocking buffer (LI-COR Biosciences, Lincoln, NE, USA) was used to block membranes and following incubation with primary and infrared secondary antibodies, bands from </w:t>
      </w:r>
      <w:proofErr w:type="spellStart"/>
      <w:r w:rsidRPr="00E84D95">
        <w:rPr>
          <w:rFonts w:ascii="Arial" w:hAnsi="Arial" w:cs="Arial"/>
          <w:sz w:val="20"/>
          <w:szCs w:val="20"/>
          <w:lang w:eastAsia="en-GB"/>
        </w:rPr>
        <w:t>immunoreactive</w:t>
      </w:r>
      <w:proofErr w:type="spellEnd"/>
      <w:r w:rsidRPr="00E84D95">
        <w:rPr>
          <w:rFonts w:ascii="Arial" w:hAnsi="Arial" w:cs="Arial"/>
          <w:sz w:val="20"/>
          <w:szCs w:val="20"/>
          <w:lang w:eastAsia="en-GB"/>
        </w:rPr>
        <w:t xml:space="preserve"> proteins were visualized by an Odyssey infrared imaging system. Images were obtained with the </w:t>
      </w:r>
      <w:proofErr w:type="spellStart"/>
      <w:r w:rsidRPr="00E84D95">
        <w:rPr>
          <w:rFonts w:ascii="Arial" w:hAnsi="Arial" w:cs="Arial"/>
          <w:sz w:val="20"/>
          <w:szCs w:val="20"/>
          <w:lang w:eastAsia="en-GB"/>
        </w:rPr>
        <w:t>Licor</w:t>
      </w:r>
      <w:proofErr w:type="spellEnd"/>
      <w:r w:rsidRPr="00E84D95">
        <w:rPr>
          <w:rFonts w:ascii="Arial" w:hAnsi="Arial" w:cs="Arial"/>
          <w:sz w:val="20"/>
          <w:szCs w:val="20"/>
          <w:lang w:eastAsia="en-GB"/>
        </w:rPr>
        <w:t xml:space="preserve"> Odyssey </w:t>
      </w:r>
      <w:proofErr w:type="spellStart"/>
      <w:r w:rsidRPr="00E84D95">
        <w:rPr>
          <w:rFonts w:ascii="Arial" w:hAnsi="Arial" w:cs="Arial"/>
          <w:sz w:val="20"/>
          <w:szCs w:val="20"/>
          <w:lang w:eastAsia="en-GB"/>
        </w:rPr>
        <w:t>CLx</w:t>
      </w:r>
      <w:proofErr w:type="spellEnd"/>
      <w:r w:rsidRPr="00E84D95">
        <w:rPr>
          <w:rFonts w:ascii="Arial" w:hAnsi="Arial" w:cs="Arial"/>
          <w:sz w:val="20"/>
          <w:szCs w:val="20"/>
          <w:lang w:eastAsia="en-GB"/>
        </w:rPr>
        <w:t xml:space="preserve"> scanner at one default exposure setting. Alternatively, secondary antibodies were HRP-labeled and detected using </w:t>
      </w:r>
      <w:proofErr w:type="spellStart"/>
      <w:r w:rsidRPr="00E84D95">
        <w:rPr>
          <w:rFonts w:ascii="Arial" w:hAnsi="Arial" w:cs="Arial"/>
          <w:sz w:val="20"/>
          <w:szCs w:val="20"/>
          <w:lang w:eastAsia="en-GB"/>
        </w:rPr>
        <w:t>chemiluminesscence</w:t>
      </w:r>
      <w:proofErr w:type="spellEnd"/>
      <w:r w:rsidRPr="00E84D95">
        <w:rPr>
          <w:rFonts w:ascii="Arial" w:hAnsi="Arial" w:cs="Arial"/>
          <w:sz w:val="20"/>
          <w:szCs w:val="20"/>
          <w:lang w:eastAsia="en-GB"/>
        </w:rPr>
        <w:t xml:space="preserve"> (</w:t>
      </w:r>
      <w:proofErr w:type="spellStart"/>
      <w:r w:rsidRPr="00E84D95">
        <w:rPr>
          <w:rFonts w:ascii="Arial" w:hAnsi="Arial" w:cs="Arial"/>
          <w:sz w:val="20"/>
          <w:szCs w:val="20"/>
          <w:lang w:eastAsia="en-GB"/>
        </w:rPr>
        <w:t>SuperSignal</w:t>
      </w:r>
      <w:proofErr w:type="spellEnd"/>
      <w:r w:rsidRPr="00E84D95">
        <w:rPr>
          <w:rFonts w:ascii="Arial" w:hAnsi="Arial" w:cs="Arial"/>
          <w:sz w:val="20"/>
          <w:szCs w:val="20"/>
          <w:lang w:eastAsia="en-GB"/>
        </w:rPr>
        <w:t xml:space="preserve"> West Pico Plus; </w:t>
      </w:r>
      <w:proofErr w:type="spellStart"/>
      <w:r w:rsidRPr="00E84D95">
        <w:rPr>
          <w:rFonts w:ascii="Arial" w:hAnsi="Arial" w:cs="Arial"/>
          <w:sz w:val="20"/>
          <w:szCs w:val="20"/>
          <w:lang w:eastAsia="en-GB"/>
        </w:rPr>
        <w:t>ThermoFisher</w:t>
      </w:r>
      <w:proofErr w:type="spellEnd"/>
      <w:r w:rsidRPr="00E84D95">
        <w:rPr>
          <w:rFonts w:ascii="Arial" w:hAnsi="Arial" w:cs="Arial"/>
          <w:sz w:val="20"/>
          <w:szCs w:val="20"/>
          <w:lang w:eastAsia="en-GB"/>
        </w:rPr>
        <w:t xml:space="preserve"> Scientific), and imaged using a </w:t>
      </w:r>
      <w:proofErr w:type="spellStart"/>
      <w:r w:rsidRPr="00E84D95">
        <w:rPr>
          <w:rFonts w:ascii="Arial" w:hAnsi="Arial" w:cs="Arial"/>
          <w:sz w:val="20"/>
          <w:szCs w:val="20"/>
          <w:lang w:eastAsia="en-GB"/>
        </w:rPr>
        <w:t>Uvitec</w:t>
      </w:r>
      <w:proofErr w:type="spellEnd"/>
      <w:r w:rsidRPr="00E84D95">
        <w:rPr>
          <w:rFonts w:ascii="Arial" w:hAnsi="Arial" w:cs="Arial"/>
          <w:sz w:val="20"/>
          <w:szCs w:val="20"/>
          <w:lang w:eastAsia="en-GB"/>
        </w:rPr>
        <w:t xml:space="preserve"> Alliance </w:t>
      </w:r>
      <w:proofErr w:type="spellStart"/>
      <w:r w:rsidRPr="00E84D95">
        <w:rPr>
          <w:rFonts w:ascii="Arial" w:hAnsi="Arial" w:cs="Arial"/>
          <w:sz w:val="20"/>
          <w:szCs w:val="20"/>
          <w:lang w:eastAsia="en-GB"/>
        </w:rPr>
        <w:t>chemiluminescence</w:t>
      </w:r>
      <w:proofErr w:type="spellEnd"/>
      <w:r w:rsidRPr="00E84D95">
        <w:rPr>
          <w:rFonts w:ascii="Arial" w:hAnsi="Arial" w:cs="Arial"/>
          <w:sz w:val="20"/>
          <w:szCs w:val="20"/>
          <w:lang w:eastAsia="en-GB"/>
        </w:rPr>
        <w:t xml:space="preserve"> imaging system . Q</w:t>
      </w:r>
      <w:r w:rsidRPr="00E84D95">
        <w:rPr>
          <w:rFonts w:ascii="Arial" w:hAnsi="Arial" w:cs="Arial"/>
          <w:sz w:val="20"/>
          <w:szCs w:val="20"/>
        </w:rPr>
        <w:t>uantification of band intensity was performed with ImageJ.</w:t>
      </w:r>
    </w:p>
    <w:p w:rsidR="00274F24" w:rsidRPr="00E84D95" w:rsidRDefault="00274F24" w:rsidP="00945FA0">
      <w:pPr>
        <w:spacing w:after="0" w:line="480" w:lineRule="auto"/>
        <w:ind w:firstLine="720"/>
        <w:rPr>
          <w:rFonts w:ascii="Arial" w:hAnsi="Arial" w:cs="Arial"/>
          <w:color w:val="FF0000"/>
          <w:sz w:val="20"/>
          <w:szCs w:val="20"/>
          <w:lang w:eastAsia="en-GB"/>
        </w:rPr>
      </w:pPr>
      <w:r w:rsidRPr="00E84D95">
        <w:rPr>
          <w:rFonts w:ascii="Arial" w:hAnsi="Arial" w:cs="Arial"/>
          <w:sz w:val="20"/>
          <w:szCs w:val="20"/>
        </w:rPr>
        <w:t xml:space="preserve">The antibodies used: </w:t>
      </w:r>
      <w:proofErr w:type="spellStart"/>
      <w:r w:rsidRPr="00E84D95">
        <w:rPr>
          <w:rFonts w:ascii="Arial" w:hAnsi="Arial" w:cs="Arial"/>
          <w:sz w:val="20"/>
          <w:szCs w:val="20"/>
        </w:rPr>
        <w:t>pAKT</w:t>
      </w:r>
      <w:proofErr w:type="spellEnd"/>
      <w:r w:rsidRPr="00E84D95">
        <w:rPr>
          <w:rFonts w:ascii="Arial" w:hAnsi="Arial" w:cs="Arial"/>
          <w:sz w:val="20"/>
          <w:szCs w:val="20"/>
        </w:rPr>
        <w:t xml:space="preserve"> (Ser473, 4060, Cell Signaling Technology [CST]), AKT (2920, CST), </w:t>
      </w:r>
      <w:proofErr w:type="spellStart"/>
      <w:r w:rsidRPr="00E84D95">
        <w:rPr>
          <w:rFonts w:ascii="Arial" w:hAnsi="Arial" w:cs="Arial"/>
          <w:sz w:val="20"/>
          <w:szCs w:val="20"/>
        </w:rPr>
        <w:t>pMAPK</w:t>
      </w:r>
      <w:proofErr w:type="spellEnd"/>
      <w:r w:rsidRPr="00E84D95">
        <w:rPr>
          <w:rFonts w:ascii="Arial" w:hAnsi="Arial" w:cs="Arial"/>
          <w:sz w:val="20"/>
          <w:szCs w:val="20"/>
        </w:rPr>
        <w:t xml:space="preserve"> or pERK1/2 (Thr202/Tyr204, 9101, CST), MAPK or ERK1/2 (4696, CST), S6 Ribosomal Protein (2217, CST) ( Phospho-S6 Ribosomal Protein (Ser235/236, 4858, CST or M3500, Spring Bioscience Corporation), EPHA2 (6697, CST), pEPHA2 (Tyr588, 12677, CST), MET (8198, CST), </w:t>
      </w:r>
      <w:proofErr w:type="spellStart"/>
      <w:r w:rsidRPr="00E84D95">
        <w:rPr>
          <w:rFonts w:ascii="Arial" w:hAnsi="Arial" w:cs="Arial"/>
          <w:sz w:val="20"/>
          <w:szCs w:val="20"/>
        </w:rPr>
        <w:t>pMET</w:t>
      </w:r>
      <w:proofErr w:type="spellEnd"/>
      <w:r w:rsidRPr="00E84D95">
        <w:rPr>
          <w:rFonts w:ascii="Arial" w:hAnsi="Arial" w:cs="Arial"/>
          <w:sz w:val="20"/>
          <w:szCs w:val="20"/>
        </w:rPr>
        <w:t xml:space="preserve"> (Tyr1234/1235, 3077, CST) and actin (A2228, Sigma Aldrich). Antibody dilutions were according to the manufacturers’ instructions</w:t>
      </w:r>
      <w:r>
        <w:rPr>
          <w:rFonts w:ascii="Arial" w:hAnsi="Arial" w:cs="Arial"/>
          <w:sz w:val="20"/>
          <w:szCs w:val="20"/>
        </w:rPr>
        <w:t>.</w:t>
      </w:r>
    </w:p>
    <w:p w:rsidR="00274F24" w:rsidRDefault="00274F24" w:rsidP="00945FA0">
      <w:pPr>
        <w:spacing w:after="0" w:line="480" w:lineRule="auto"/>
        <w:rPr>
          <w:rFonts w:ascii="Arial" w:hAnsi="Arial" w:cs="Arial"/>
          <w:b/>
          <w:sz w:val="20"/>
          <w:szCs w:val="20"/>
        </w:rPr>
      </w:pPr>
    </w:p>
    <w:p w:rsidR="00E8256E" w:rsidRPr="00274F24" w:rsidRDefault="00E8256E" w:rsidP="00945FA0">
      <w:pPr>
        <w:pStyle w:val="Geenafstand"/>
        <w:spacing w:line="480" w:lineRule="auto"/>
        <w:rPr>
          <w:rFonts w:ascii="Arial" w:hAnsi="Arial" w:cs="Arial"/>
          <w:i/>
        </w:rPr>
      </w:pPr>
      <w:r w:rsidRPr="00274F24">
        <w:rPr>
          <w:rFonts w:ascii="Arial" w:hAnsi="Arial" w:cs="Arial"/>
          <w:i/>
        </w:rPr>
        <w:t>Caki-1 subcutaneous tumor xenografts in Swiss nu/nu mice</w:t>
      </w:r>
    </w:p>
    <w:p w:rsidR="00D60A13" w:rsidRDefault="00E8256E" w:rsidP="00945FA0">
      <w:pPr>
        <w:pStyle w:val="Geenafstand"/>
        <w:spacing w:line="480" w:lineRule="auto"/>
        <w:ind w:firstLine="720"/>
        <w:rPr>
          <w:rFonts w:ascii="Arial" w:hAnsi="Arial" w:cs="Arial"/>
        </w:rPr>
      </w:pPr>
      <w:r>
        <w:rPr>
          <w:rFonts w:ascii="Arial" w:hAnsi="Arial" w:cs="Arial"/>
        </w:rPr>
        <w:t xml:space="preserve">Experiments were conducted according to licence GE-2-17. Briefly, male and female Swiss nu/nu mice at age 6-8 weeks (Charles River, </w:t>
      </w:r>
      <w:proofErr w:type="spellStart"/>
      <w:r>
        <w:rPr>
          <w:rFonts w:ascii="Arial" w:hAnsi="Arial" w:cs="Arial"/>
        </w:rPr>
        <w:t>Ecully</w:t>
      </w:r>
      <w:proofErr w:type="spellEnd"/>
      <w:r>
        <w:rPr>
          <w:rFonts w:ascii="Arial" w:hAnsi="Arial" w:cs="Arial"/>
        </w:rPr>
        <w:t>, France) received an injection of 5x10</w:t>
      </w:r>
      <w:r>
        <w:rPr>
          <w:rFonts w:ascii="Arial" w:hAnsi="Arial" w:cs="Arial"/>
          <w:vertAlign w:val="superscript"/>
        </w:rPr>
        <w:t>6</w:t>
      </w:r>
      <w:r>
        <w:rPr>
          <w:rFonts w:ascii="Arial" w:hAnsi="Arial" w:cs="Arial"/>
        </w:rPr>
        <w:t xml:space="preserve"> Caki-1 cells suspended in 100 </w:t>
      </w:r>
      <w:proofErr w:type="spellStart"/>
      <w:r>
        <w:rPr>
          <w:rFonts w:ascii="Arial" w:hAnsi="Arial" w:cs="Arial"/>
        </w:rPr>
        <w:t>uL</w:t>
      </w:r>
      <w:proofErr w:type="spellEnd"/>
      <w:r>
        <w:rPr>
          <w:rFonts w:ascii="Arial" w:hAnsi="Arial" w:cs="Arial"/>
        </w:rPr>
        <w:t xml:space="preserve"> DMEM and 1% FCS in the left flank. Treatment with CTRL, drug combinations or single drugs was started on day 4 when palpable tumor formation could be confirmed. Erlotinib was freshly dissolved in 0.5% methylcellulose (Sigma-Aldrich)/0.1% Tween-80 in sterile H</w:t>
      </w:r>
      <w:r>
        <w:rPr>
          <w:rFonts w:ascii="Arial" w:hAnsi="Arial" w:cs="Arial"/>
          <w:vertAlign w:val="subscript"/>
        </w:rPr>
        <w:t>2</w:t>
      </w:r>
      <w:r>
        <w:rPr>
          <w:rFonts w:ascii="Arial" w:hAnsi="Arial" w:cs="Arial"/>
        </w:rPr>
        <w:t xml:space="preserve">O. Dasatinib and AZD-4547 were freshly dissolved first in 30% PEG300 (Sigma-Aldrich)/5% Tween-80 followed by addition </w:t>
      </w:r>
      <w:r>
        <w:rPr>
          <w:rFonts w:ascii="Arial" w:hAnsi="Arial" w:cs="Arial"/>
        </w:rPr>
        <w:lastRenderedPageBreak/>
        <w:t>of sterile H</w:t>
      </w:r>
      <w:r>
        <w:rPr>
          <w:rFonts w:ascii="Arial" w:hAnsi="Arial" w:cs="Arial"/>
          <w:vertAlign w:val="subscript"/>
        </w:rPr>
        <w:t>2</w:t>
      </w:r>
      <w:r>
        <w:rPr>
          <w:rFonts w:ascii="Arial" w:hAnsi="Arial" w:cs="Arial"/>
        </w:rPr>
        <w:t>O to 100%. Drug concentration in mg/kg was based on average mice weight and treatment consisted of 100 µL/mouse by oral gavage. Mice were weighted and scored daily according to standard parameters to monitor health and tumor diameters was measured daily and tumor volume was determined with the formula “smallest diameter</w:t>
      </w:r>
      <w:r>
        <w:rPr>
          <w:rFonts w:ascii="Arial" w:hAnsi="Arial" w:cs="Arial"/>
          <w:vertAlign w:val="superscript"/>
        </w:rPr>
        <w:t>2</w:t>
      </w:r>
      <w:r>
        <w:rPr>
          <w:rFonts w:ascii="Arial" w:hAnsi="Arial" w:cs="Arial"/>
        </w:rPr>
        <w:t xml:space="preserve"> + biggest diameter / 2”. When a tumor reached 1000 mm</w:t>
      </w:r>
      <w:r>
        <w:rPr>
          <w:rFonts w:ascii="Arial" w:hAnsi="Arial" w:cs="Arial"/>
          <w:vertAlign w:val="superscript"/>
        </w:rPr>
        <w:t>3</w:t>
      </w:r>
      <w:r>
        <w:rPr>
          <w:rFonts w:ascii="Arial" w:hAnsi="Arial" w:cs="Arial"/>
        </w:rPr>
        <w:t xml:space="preserve"> or 15 mm in diameter (around day 13) experimental endpoint was reache</w:t>
      </w:r>
      <w:r w:rsidR="00D60A13">
        <w:rPr>
          <w:rFonts w:ascii="Arial" w:hAnsi="Arial" w:cs="Arial"/>
        </w:rPr>
        <w:t>d and all mice were euthanized.</w:t>
      </w:r>
    </w:p>
    <w:p w:rsidR="0002303E" w:rsidRDefault="00C106BF" w:rsidP="00945FA0">
      <w:pPr>
        <w:pStyle w:val="Geenafstand"/>
        <w:spacing w:line="480" w:lineRule="auto"/>
        <w:ind w:firstLine="720"/>
        <w:rPr>
          <w:rFonts w:ascii="Arial" w:hAnsi="Arial" w:cs="Arial"/>
        </w:rPr>
      </w:pPr>
      <w:r>
        <w:rPr>
          <w:rFonts w:ascii="Arial" w:hAnsi="Arial" w:cs="Arial"/>
          <w:lang w:val="en-US" w:eastAsia="fr-CH"/>
        </w:rPr>
        <w:t xml:space="preserve">In two independent </w:t>
      </w:r>
      <w:r>
        <w:rPr>
          <w:rFonts w:ascii="Arial" w:hAnsi="Arial" w:cs="Arial"/>
          <w:i/>
          <w:lang w:val="en-US" w:eastAsia="fr-CH"/>
        </w:rPr>
        <w:t>in vivo</w:t>
      </w:r>
      <w:r>
        <w:rPr>
          <w:rFonts w:ascii="Arial" w:hAnsi="Arial" w:cs="Arial"/>
          <w:lang w:val="en-US" w:eastAsia="fr-CH"/>
        </w:rPr>
        <w:t xml:space="preserve"> experiments, several single drug doses were tested to determine adequate dose ranges and various combinations based on </w:t>
      </w:r>
      <w:r>
        <w:rPr>
          <w:rFonts w:ascii="Arial" w:hAnsi="Arial" w:cs="Arial"/>
          <w:i/>
          <w:lang w:val="en-US" w:eastAsia="fr-CH"/>
        </w:rPr>
        <w:t>in vitro</w:t>
      </w:r>
      <w:r>
        <w:rPr>
          <w:rFonts w:ascii="Arial" w:hAnsi="Arial" w:cs="Arial"/>
          <w:lang w:val="en-US" w:eastAsia="fr-CH"/>
        </w:rPr>
        <w:t xml:space="preserve"> dose relations between the drugs. </w:t>
      </w:r>
      <w:r w:rsidR="0002303E">
        <w:rPr>
          <w:rFonts w:ascii="Arial" w:hAnsi="Arial" w:cs="Arial"/>
        </w:rPr>
        <w:t xml:space="preserve">Drug doses </w:t>
      </w:r>
      <w:r w:rsidR="0002303E" w:rsidRPr="0002303E">
        <w:rPr>
          <w:rFonts w:ascii="Arial" w:hAnsi="Arial" w:cs="Arial"/>
          <w:i/>
        </w:rPr>
        <w:t xml:space="preserve">in vivo </w:t>
      </w:r>
      <w:r w:rsidR="0002303E">
        <w:rPr>
          <w:rFonts w:ascii="Arial" w:hAnsi="Arial" w:cs="Arial"/>
        </w:rPr>
        <w:t>were based on previously published studies in mice</w:t>
      </w:r>
      <w:r w:rsidR="000A2B49">
        <w:rPr>
          <w:rFonts w:ascii="Arial" w:hAnsi="Arial" w:cs="Arial"/>
        </w:rPr>
        <w:t>, as selected in such way that no or minimal tumor inhibition was expected when applied as monotherapies</w:t>
      </w:r>
      <w:r w:rsidR="0002303E">
        <w:rPr>
          <w:rFonts w:ascii="Arial" w:hAnsi="Arial" w:cs="Arial"/>
        </w:rPr>
        <w:fldChar w:fldCharType="begin" w:fldLock="1"/>
      </w:r>
      <w:r w:rsidR="00452C63">
        <w:rPr>
          <w:rFonts w:ascii="Arial" w:hAnsi="Arial" w:cs="Arial"/>
        </w:rPr>
        <w:instrText>ADDIN CSL_CITATION { "citationItems" : [ { "id" : "ITEM-1", "itemData" : { "DOI" : "10.1158/1535-7163.MCT-14-0094", "ISSN" : "1538-8514", "PMID" : "25381264", "abstract" : "Alternative pathways to the VEGF, such as hepatocyte growth factor or HGF/c-met, are emerging as key players in tumor angiogenesis and resistance to anti-VEGF therapies. The aim of this study was to assess the effects of a combination strategy targeting the VEGF and c-met pathways in clear cell renal cell carcinoma (ccRCC) models. Male SCID mice (8/group) were implanted with 786-O tumor pieces and treated with either a selective VEGF receptor tyrosine kinase inhibitor, axitinib (36 mg/kg, 2\u00d7/day); a c-met inhibitor, crizotinib (25 mg/kg, 1\u00d7/day); or combination. We further tested this drug combination in a human ccRCC patient-derived xenograft, RP-R-01, in both VEGF-targeted therapy-sensitive and -resistant models. To evaluate the resistant phenotype, we established an RP-R-01 sunitinib-resistant model by continuous sunitinib treatment (60 mg/kg, 1\u00d7/day) of RP-R-01-bearing mice. Treatment with single-agent crizotinib reduced tumor vascularization but failed to inhibit tumor growth in either model, despite also a significant increase of c-met expression and phosphorylation in the sunitinib-resistant tumors. In contrast, axitinib treatment was effective in inhibiting angiogenesis and tumor growth in both models, with its antitumor effect significantly increased by the combined treatment with crizotinib, independently from c-met expression. Combination treatment also induced prolonged survival and significant tumor growth inhibition in the 786-O human RCC model. Overall, our results support the rationale for the clinical testing of combined VEGF and HGF/c-met pathway blockade in the treatment of ccRCC, both in first- and second-line setting.", "author" : [ { "dropping-particle" : "", "family" : "Ciamporcero", "given" : "Eric", "non-dropping-particle" : "", "parse-names" : false, "suffix" : "" }, { "dropping-particle" : "", "family" : "Miles", "given" : "Kiersten Marie", "non-dropping-particle" : "", "parse-names" : false, "suffix" : "" }, { "dropping-particle" : "", "family" : "Adelaiye", "given" : "Remi", "non-dropping-particle" : "", "parse-names" : false, "suffix" : "" }, { "dropping-particle" : "", "family" : "Ramakrishnan", "given" : "Swathi", "non-dropping-particle" : "", "parse-names" : false, "suffix" : "" }, { "dropping-particle" : "", "family" : "Shen", "given" : "Li", "non-dropping-particle" : "", "parse-names" : false, "suffix" : "" }, { "dropping-particle" : "", "family" : "Ku", "given" : "ShengYu", "non-dropping-particle" : "", "parse-names" : false, "suffix" : "" }, { "dropping-particle" : "", "family" : "Pizzimenti", "given" : "Stefania", "non-dropping-particle" : "", "parse-names" : false, "suffix" : "" }, { "dropping-particle" : "", "family" : "Sennino", "given" : "Barbara", "non-dropping-particle" : "", "parse-names" : false, "suffix" : "" }, { "dropping-particle" : "", "family" : "Barrera", "given" : "Giuseppina", "non-dropping-particle" : "", "parse-names" : false, "suffix" : "" }, { "dropping-particle" : "", "family" : "Pili", "given" : "Roberto", "non-dropping-particle" : "", "parse-names" : false, "suffix" : "" } ], "container-title" : "Molecular cancer therapeutics", "id" : "ITEM-1", "issue" : "1", "issued" : { "date-parts" : [ [ "2015", "1", "1" ] ] }, "page" : "101-10", "title" : "Combination strategy targeting VEGF and HGF/c-met in human renal cell carcinoma models.", "type" : "article-journal", "volume" : "14" }, "uris" : [ "http://www.mendeley.com/documents/?uuid=997194ca-7a5e-392f-beda-bfdd376f5750" ] }, { "id" : "ITEM-2", "itemData" : { "DOI" : "10.1158/1078-0432.CCR-12-2694", "ISSN" : "10780432", "abstract" : "Purpose: To investigate the incidence of FGFR1 amplification in Chinese non-small cell lung cancer (NSCLC) and to preclinically test the hypothesis that the novel, potent, and selective fibroblast growth factor receptor (FGFR) small-molecule inhibitor AZD4547 will deliver potent antitumor activity in NSCLC FGFR1-amplified patient-derived tumor xenograft (PDTX) models. Experimental Design: A range of assays was used to assess the translational relevance of FGFR1 amplification and AZD4547 treatment including in vitro lung cell line panel screening and pharmacodynamic (PD) analysis, FGFR1 FISH tissue microarray (TMA) analysis of Chinese NSCLC (n = 127), and, importantly, antitumor efficacy testing and PD analysis of lung PDTX models using AZD4547. Results: The incidence of FGFR1 amplification within Chinese patient NSCLC tumors was 12.5% of squamous origin (6 of 48) and 7% of adenocarcinoma (5 of 76). AZD4547 displayed a highly selective profile across a lung cell line panel, potently inhibiting cell growth only in those lines harboring amplified FGFR1 (GI50 = 0.003-0.111 \u03bcmol/L). AZD4547 induced potent tumor stasis or regressive effects in four of five FGFR1-amplified squamous NSCLC PDTX models. Pharmacodynamic modulation was observed in vivo, and antitumor efficacy correlated well with FGFR1 FISH score and protein expression level. Conclusions: This study provides novel epidemiologic data through identification of FGFR1 gene amplification in Chinese NSCLC specimens (particularly squamous) and, importantly, extends the clinical significance of this finding by using multiple FGFR1-amplified squamous lung cancer PDTX models to show tumor stasis or regression effects using a specific FGFR inhibitor (AZD4547). Thus, the translational science presented here provides a strong rationale for investigation of AZD4547 as a therapeutic option for patients with squamous NSCLC tumors harboring amplification of FGFR1. \u00a92012 AACR.", "author" : [ { "dropping-particle" : "", "family" : "Zhang", "given" : "Jingchuan", "non-dropping-particle" : "", "parse-names" : false, "suffix" : "" }, { "dropping-particle" : "", "family" : "Zhang", "given" : "Lin", "non-dropping-particle" : "", "parse-names" : false, "suffix" : "" }, { "dropping-particle" : "", "family" : "Su", "given" : "Xinying", "non-dropping-particle" : "", "parse-names" : false, "suffix" : "" }, { "dropping-particle" : "", "family" : "Li", "given" : "Ming", "non-dropping-particle" : "", "parse-names" : false, "suffix" : "" }, { "dropping-particle" : "", "family" : "Xie", "given" : "Liang", "non-dropping-particle" : "", "parse-names" : false, "suffix" : "" }, { "dropping-particle" : "", "family" : "Malchers", "given" : "Florian", "non-dropping-particle" : "", "parse-names" : false, "suffix" : "" }, { "dropping-particle" : "", "family" : "Fan", "given" : "Shu Qiong", "non-dropping-particle" : "", "parse-names" : false, "suffix" : "" }, { "dropping-particle" : "", "family" : "Yin", "given" : "Xiao Lu", "non-dropping-particle" : "", "parse-names" : false, "suffix" : "" }, { "dropping-particle" : "", "family" : "Xu", "given" : "Yan Ping", "non-dropping-particle" : "", "parse-names" : false, "suffix" : "" }, { "dropping-particle" : "", "family" : "Liu", "given" : "Kunji", "non-dropping-particle" : "", "parse-names" : false, "suffix" : "" }, { "dropping-particle" : "", "family" : "Dong", "given" : "Zhengwei", "non-dropping-particle" : "", "parse-names" : false, "suffix" : "" }, { "dropping-particle" : "", "family" : "Zhu", "given" : "Guanshan", "non-dropping-particle" : "", "parse-names" : false, "suffix" : "" }, { "dropping-particle" : "", "family" : "Qian", "given" : "Ziliang", "non-dropping-particle" : "", "parse-names" : false, "suffix" : "" }, { "dropping-particle" : "", "family" : "Tang", "given" : "Lili", "non-dropping-particle" : "", "parse-names" : false, "suffix" : "" }, { "dropping-particle" : "", "family" : "Zhan", "given" : "Ping", "non-dropping-particle" : "", "parse-names" : false, "suffix" : "" }, { "dropping-particle" : "", "family" : "Ji", "given" : "Qunsheng", "non-dropping-particle" : "", "parse-names" : false, "suffix" : "" }, { "dropping-particle" : "", "family" : "Kilgour", "given" : "Elaine", "non-dropping-particle" : "", "parse-names" : false, "suffix" : "" }, { "dropping-particle" : "", "family" : "Smith", "given" : "Paul D.", "non-dropping-particle" : "", "parse-names" : false, "suffix" : "" }, { "dropping-particle" : "", "family" : "Brooks", "given" : "A. Nigel", "non-dropping-particle" : "", "parse-names" : false, "suffix" : "" }, { "dropping-particle" : "", "family" : "Thomas", "given" : "Roman K.", "non-dropping-particle" : "", "parse-names" : false, "suffix" : "" }, { "dropping-particle" : "", "family" : "Gavine", "given" : "Paul R.", "non-dropping-particle" : "", "parse-names" : false, "suffix" : "" } ], "container-title" : "Clinical Cancer Research", "id" : "ITEM-2", "issue" : "24", "issued" : { "date-parts" : [ [ "2012", "12", "15" ] ] }, "page" : "6658-6667", "title" : "Translating the therapeutic potential of AZD4547 in FGFR1-amplified non-small cell lung cancer through the use of patient-derived tumor xenograft models", "type" : "article-journal", "volume" : "18" }, "uris" : [ "http://www.mendeley.com/documents/?uuid=716456cb-b80c-3ac9-ba20-40ad6f77287a" ] }, { "id" : "ITEM-3", "itemData" : { "DOI" : "10.1158/1078-0432.CCR-12-2885 LK  - http://sfxhosted.exlibrisgroup.com/dal?sid=EMBASE&amp;issn=10780432&amp;id=doi:10.1158%2F1078-0432.CCR-12-2885&amp;atitle=Phase+i+study+of+dovitinib+%28TKI258%29%2C+an+oral+FGFR%2C+VEGFR%2C+and+PDGFR+inhibitor%2C+in+advanced+or+metastatic+renal+cell+carcinoma&amp;stitle=Clin.+Cancer+Res.&amp;title=Clinical+Cancer+Research&amp;volume=19&amp;issue=5&amp;spage=1257&amp;epage=1268&amp;aulast=Angevin&amp;aufirst=Eric&amp;auinit=E.&amp;aufull=Angevin+E.&amp;coden=CCREF&amp;isbn=&amp;pages=1257-1268&amp;date=2013&amp;auinit1=E&amp;auinitm=", "ISSN" : "1078-0432", "PMID" : "23339124", "abstract" : "Purpose: Signaling through the fibroblast growth factor (FGF) pathway may account for tumor resistance to antiangiogenic therapies targeting the VEGF pathway. Here, dovitinib (TKI258), a potent oral inhibitor of FGF receptor, VEGF receptor (VEGFR), and platelet-derived growth factor receptor tyrosine kinases, is studied in a dose escalation trial. Experimental Design: Patients with advanced ormetastatic renal cell carcinoma(RCC) with predominant clear cell histology were treated with oral dovitinib 500 or 600 mg/day (5-days-on/2-days-off schedule). Results: Twenty heavily pretreated patients (median 3 prior regimens) were enrolled, with 16, 11, and 12 patients having previously received at least 1: VEGFR inhibitor, mTOR inhibitor, and immunotherapy, respectively. Fifteen and 5 patients were treated in 500- and 600-mg cohorts, respectively. Three patients experienced dose-limiting toxicities: grade 2 bradycardia (500 mg), grade 4 hypertensive crisis (600 mg), and grade 3 asthenia with grade 2 nausea and vomiting (600 mg). The most common adverse events related to dovitinib were nausea (75%), diarrhea (70%), vomiting (70%), and asthenia (50%), the majority of which were mild (grade 1 or 2), with grade 3 events 5% or less (except asthenia, 15%) and only one grade 4 event (hypertensive crisis). Two patients achieved a partial response (500 mg), and 12 patients had stable disease, including 2 patients with long lasting disease stabilizations (&gt;1 year) in the 500-mg cohort. Conclusions: Dovitinib was tolerable and showed antitumor activity at a maximum tolerated dose of 500mg on a 5-days-on/2-days-off schedule in heavily pretreated RCC patients. \u00a9 2012 American Association for Cancer Research.", "author" : [ { "dropping-particle" : "", "family" : "E.", "given" : "Angevin", "non-dropping-particle" : "", "parse-names" : false, "suffix" : "" }, { "dropping-particle" : "", "family" : "J.A.", "given" : "Lopez-Martin", "non-dropping-particle" : "", "parse-names" : false, "suffix" : "" }, { "dropping-particle" : "", "family" : "C.-C.", "given" : "Lin", "non-dropping-particle" : "", "parse-names" : false, "suffix" : "" }, { "dropping-particle" : "", "family" : "J.E.", "given" : "Gschwend", "non-dropping-particle" : "", "parse-names" : false, "suffix" : "" }, { "dropping-particle" : "", "family" : "A.", "given" : "Harzstark", "non-dropping-particle" : "", "parse-names" : false, "suffix" : "" }, { "dropping-particle" : "", "family" : "D.", "given" : "Castellano", "non-dropping-particle" : "", "parse-names" : false, "suffix" : "" }, { "dropping-particle" : "", "family" : "J.-C.", "given" : "Soria", "non-dropping-particle" : "", "parse-names" : false, "suffix" : "" }, { "dropping-particle" : "", "family" : "P.", "given" : "Sen", "non-dropping-particle" : "", "parse-names" : false, "suffix" : "" }, { "dropping-particle" : "", "family" : "J.", "given" : "Chang", "non-dropping-particle" : "", "parse-names" : false, "suffix" : "" }, { "dropping-particle" : "", "family" : "M.", "given" : "Shi", "non-dropping-particle" : "", "parse-names" : false, "suffix" : "" }, { "dropping-particle" : "", "family" : "A.", "given" : "Kay", "non-dropping-particle" : "", "parse-names" : false, "suffix" : "" }, { "dropping-particle" : "", "family" : "B.", "given" : "Escudier", "non-dropping-particle" : "", "parse-names" : false, "suffix" : "" }, { "dropping-particle" : "", "family" : "Angevin", "given" : "Eric", "non-dropping-particle" : "", "parse-names" : false, "suffix" : "" }, { "dropping-particle" : "", "family" : "Lopez-Martin", "given" : "Jose A", "non-dropping-particle" : "", "parse-names" : false, "suffix" : "" }, { "dropping-particle" : "", "family" : "Lin", "given" : "Chia-Chi", "non-dropping-particle" : "", "parse-names" : false, "suffix" : "" }, { "dropping-particle" : "", "family" : "Gschwend", "given" : "Jurgen E", "non-dropping-particle" : "", "parse-names" : false, "suffix" : "" }, { "dropping-particle" : "", "family" : "Harzstark", "given" : "Andrea", "non-dropping-particle" : "", "parse-names" : false, "suffix" : "" }, { "dropping-particle" : "", "family" : "Castellano", "given" : "Daniel", "non-dropping-particle" : "", "parse-names" : false, "suffix" : "" }, { "dropping-particle" : "", "family" : "Soria", "given" : "Jean-Charles", "non-dropping-particle" : "", "parse-names" : false, "suffix" : "" }, { "dropping-particle" : "", "family" : "Sen", "given" : "Paramita", "non-dropping-particle" : "", "parse-names" : false, "suffix" : "" }, { "dropping-particle" : "", "family" : "Chang", "given" : "Julie", "non-dropping-particle" : "", "parse-names" : false, "suffix" : "" }, { "dropping-particle" : "", "family" : "Shi", "given" : "Michael", "non-dropping-particle" : "", "parse-names" : false, "suffix" : "" }, { "dropping-particle" : "", "family" : "Kay", "given" : "Andrea", "non-dropping-particle" : "", "parse-names" : false, "suffix" : "" }, { "dropping-particle" : "", "family" : "Escudier", "given" : "Bernard", "non-dropping-particle" : "", "parse-names" : false, "suffix" : "" } ], "container-title" : "Clinical Cancer Research", "id" : "ITEM-3", "issue" : "5", "issued" : { "date-parts" : [ [ "2013" ] ] }, "page" : "1257-1268", "title" : "Phase i study of dovitinib (TKI258), an oral FGFR, VEGFR, and PDGFR inhibitor, in advanced or metastatic renal cell carcinoma", "type" : "article-journal", "volume" : "19" }, "uris" : [ "http://www.mendeley.com/documents/?uuid=aedb8526-c8a6-3b2f-9340-f475f4e2e975" ] }, { "id" : "ITEM-4", "itemData" : { "DOI" : "10.4161/cbt.7.12.6944", "ISSN" : "15558576", "abstract" : "The mammalian target of rapamycin (mTOR) has emerged as an important cancer therapeutic target. Several mTOR inhibitors are currently being tested in cancer clinical trials. Both PI3K/Akt and MEK/ERK signaling regulate mTOR axis. However, inhibition of mTOR activates Akt survival signaling, which in turn attenuates mTOR inhibitors' anticancer efficacy. We are interested in developing strategies for enhancing mTOR-targeted cancer therapy. In this study, we report that mTOR inhibition also induced activations of the MEK/ERK signaling pathway in some cancer cell lines after a prolonged treatment. The combination of rapamycin with the MEK inhibitor U0126 significantly enhanced growth inhibitory effects of cancer cells, suggesting that MEK/ERK activation may counteract mTOR inhibitors' anticancer efficacy. Similarly, the combination of an mTOR inhibitor with the EGF receptor inhibitor erlotinib synergistically inhibited the growth of both human cancer cells in cell cultures and xenografts in nude mice. Moreover, the presence of erlotinib suppressed rapamycin-induced phosphorylation of Akt, ERK and eIF4E as well, implying that erlotinib can suppress mTOR inhibition-induced feedback activation of several survival signaling pathways including Akt, ERK and eIF4E. Thus, we suggest a therapeutic strategy for enhancing mTOR-targeted cancer therapy by preventing mTOR inhibition-induced feedback activation of several survival mechanisms. \u00a92008 Landes Bioscience.", "author" : [ { "dropping-particle" : "", "family" : "Wang", "given" : "Xuerong", "non-dropping-particle" : "", "parse-names" : false, "suffix" : "" }, { "dropping-particle" : "", "family" : "Hawk", "given" : "Natalyn", "non-dropping-particle" : "", "parse-names" : false, "suffix" : "" }, { "dropping-particle" : "", "family" : "Yue", "given" : "Ping", "non-dropping-particle" : "", "parse-names" : false, "suffix" : "" }, { "dropping-particle" : "", "family" : "Kauh", "given" : "John", "non-dropping-particle" : "", "parse-names" : false, "suffix" : "" }, { "dropping-particle" : "", "family" : "Ramalingam", "given" : "Suresh S.", "non-dropping-particle" : "", "parse-names" : false, "suffix" : "" }, { "dropping-particle" : "", "family" : "Fu", "given" : "Haian", "non-dropping-particle" : "", "parse-names" : false, "suffix" : "" }, { "dropping-particle" : "", "family" : "Khuri", "given" : "Fadlo R.", "non-dropping-particle" : "", "parse-names" : false, "suffix" : "" }, { "dropping-particle" : "", "family" : "Sun", "given" : "Shi Yong", "non-dropping-particle" : "", "parse-names" : false, "suffix" : "" } ], "container-title" : "Cancer Biology and Therapy", "id" : "ITEM-4", "issue" : "12", "issued" : { "date-parts" : [ [ "2008" ] ] }, "page" : "1952-1958", "publisher" : "Landes Bioscience", "title" : "Overcoming mTOR inhibition-induced paradoxical activation of survival signaling pathways enhances mTOR inhibitors' anticancer efficacy", "type" : "article-journal", "volume" : "7" }, "uris" : [ "http://www.mendeley.com/documents/?uuid=945f882f-7ec9-31b7-a595-12a5acf45ed6" ] } ], "mendeley" : { "formattedCitation" : "[9,21\u201323]", "plainTextFormattedCitation" : "[9,21\u201323]", "previouslyFormattedCitation" : "[9,21\u201323]" }, "properties" : { "noteIndex" : 0 }, "schema" : "https://github.com/citation-style-language/schema/raw/master/csl-citation.json" }</w:instrText>
      </w:r>
      <w:r w:rsidR="0002303E">
        <w:rPr>
          <w:rFonts w:ascii="Arial" w:hAnsi="Arial" w:cs="Arial"/>
        </w:rPr>
        <w:fldChar w:fldCharType="separate"/>
      </w:r>
      <w:r w:rsidR="00452C63" w:rsidRPr="00452C63">
        <w:rPr>
          <w:rFonts w:ascii="Arial" w:hAnsi="Arial" w:cs="Arial"/>
          <w:noProof/>
        </w:rPr>
        <w:t>[9,21–23]</w:t>
      </w:r>
      <w:r w:rsidR="0002303E">
        <w:rPr>
          <w:rFonts w:ascii="Arial" w:hAnsi="Arial" w:cs="Arial"/>
        </w:rPr>
        <w:fldChar w:fldCharType="end"/>
      </w:r>
      <w:r w:rsidR="000A2B49">
        <w:rPr>
          <w:rFonts w:ascii="Arial" w:hAnsi="Arial" w:cs="Arial"/>
        </w:rPr>
        <w:t>. In order to compare these dose</w:t>
      </w:r>
      <w:r w:rsidR="00F447E0">
        <w:rPr>
          <w:rFonts w:ascii="Arial" w:hAnsi="Arial" w:cs="Arial"/>
        </w:rPr>
        <w:t>s</w:t>
      </w:r>
      <w:r w:rsidR="0002303E">
        <w:rPr>
          <w:rFonts w:ascii="Arial" w:hAnsi="Arial" w:cs="Arial"/>
        </w:rPr>
        <w:t xml:space="preserve"> with </w:t>
      </w:r>
      <w:r w:rsidR="0002303E">
        <w:rPr>
          <w:rFonts w:ascii="Arial" w:hAnsi="Arial" w:cs="Arial"/>
          <w:i/>
        </w:rPr>
        <w:t>the in vitro</w:t>
      </w:r>
      <w:r w:rsidR="0002303E">
        <w:rPr>
          <w:rFonts w:ascii="Arial" w:hAnsi="Arial" w:cs="Arial"/>
        </w:rPr>
        <w:t xml:space="preserve"> doses used in our study, </w:t>
      </w:r>
      <w:r w:rsidR="00F447E0">
        <w:rPr>
          <w:rFonts w:ascii="Arial" w:hAnsi="Arial" w:cs="Arial"/>
        </w:rPr>
        <w:t>we used data from dose-escalation</w:t>
      </w:r>
      <w:r w:rsidR="00C41019">
        <w:rPr>
          <w:rFonts w:ascii="Arial" w:hAnsi="Arial" w:cs="Arial"/>
        </w:rPr>
        <w:t xml:space="preserve"> s</w:t>
      </w:r>
      <w:r w:rsidR="00C41019" w:rsidRPr="00C41019">
        <w:rPr>
          <w:rFonts w:ascii="Arial" w:hAnsi="Arial" w:cs="Arial"/>
        </w:rPr>
        <w:t>tudies</w:t>
      </w:r>
      <w:r w:rsidR="00C41019">
        <w:rPr>
          <w:rFonts w:ascii="Arial" w:hAnsi="Arial" w:cs="Arial"/>
        </w:rPr>
        <w:fldChar w:fldCharType="begin" w:fldLock="1"/>
      </w:r>
      <w:r w:rsidR="00452C63">
        <w:rPr>
          <w:rFonts w:ascii="Arial" w:hAnsi="Arial" w:cs="Arial"/>
        </w:rPr>
        <w:instrText>ADDIN CSL_CITATION { "citationItems" : [ { "id" : "ITEM-1", "itemData" : { "DOI" : "10.1007/s10637-016-0416-x", "ISSN" : "15730646", "abstract" : "Background AZD4547 is a potent, oral, highly selective fibroblast growth factor receptor (FGFR) inhibitor in clinical development for treating tumours with a range of FGFR aberrations, including FGFR mutations, amplifications and fusions. Methods This open-label, Phase I, multicentre study (NCT01213160) evaluated the safety, pharmacokinetics, and preliminary antitumour efficacy (RECIST v1.1) of AZD4547 monotherapy in Japanese patients with advanced solid tumours. Part A was a dose-escalation part; Part B was a dose-expansion part in patients with FGFR-amplified tumours, confirmed by fluorescence in situ hybridization. Results Thirty patients enrolled in Part A (dose range: 40\u00a0mg twice daily [bid] to 120\u00a0mg bid; 160\u00a0mg once daily [qd]), four in Part B (80\u00a0mg bid). No dose-limiting toxicities were observed and maximum tolerated dose was not determined. Most common adverse events (AEs; any grade) were: dysgeusia (50% of patients); stomatitis (41%); diarrhoea (38%); hyperphosphataemia (38%); dry mouth (35%). Common grade \u22653 AEs were nausea (12% of patients) and neutropenia (9%). No complete or partial responses were observed: 21/30 patients had stable disease \u22654\u00a0weeks in Part A, and 1/4 patients had stable disease \u226510\u00a0weeks in Part B. Following single and multiple dosing, absorption rate appeared moderate; peak plasma concentrations generally occurred 3\u20134\u00a0h post-dose, then declined biphasically with terminal half-life ~30\u00a0h. Steady state was reached by day 8. Compared with single dosing, plasma concentrations were, on average, 2.4- and 3.3- to 5.4-fold higher after qd and bid dosing, respectively. Conclusions AZD4547 was well tolerated in Japanese patients, with best response of stable disease \u22654\u00a0weeks.", "author" : [ { "dropping-particle" : "", "family" : "Saka", "given" : "Hideo", "non-dropping-particle" : "", "parse-names" : false, "suffix" : "" }, { "dropping-particle" : "", "family" : "Kitagawa", "given" : "Chiyoe", "non-dropping-particle" : "", "parse-names" : false, "suffix" : "" }, { "dropping-particle" : "", "family" : "Kogure", "given" : "Yoshihito", "non-dropping-particle" : "", "parse-names" : false, "suffix" : "" }, { "dropping-particle" : "", "family" : "Takahashi", "given" : "Yasuo", "non-dropping-particle" : "", "parse-names" : false, "suffix" : "" }, { "dropping-particle" : "", "family" : "Fujikawa", "given" : "Koshi", "non-dropping-particle" : "", "parse-names" : false, "suffix" : "" }, { "dropping-particle" : "", "family" : "Sagawa", "given" : "Tamotsu", "non-dropping-particle" : "", "parse-names" : false, "suffix" : "" }, { "dropping-particle" : "", "family" : "Iwasa", "given" : "Satoru", "non-dropping-particle" : "", "parse-names" : false, "suffix" : "" }, { "dropping-particle" : "", "family" : "Takahashi", "given" : "Naoki", "non-dropping-particle" : "", "parse-names" : false, "suffix" : "" }, { "dropping-particle" : "", "family" : "Fukao", "given" : "Taro", "non-dropping-particle" : "", "parse-names" : false, "suffix" : "" }, { "dropping-particle" : "", "family" : "Tchinou", "given" : "Catherine", "non-dropping-particle" : "", "parse-names" : false, "suffix" : "" }, { "dropping-particle" : "", "family" : "Landers", "given" : "D\u00f3nal", "non-dropping-particle" : "", "parse-names" : false, "suffix" : "" }, { "dropping-particle" : "", "family" : "Yamada", "given" : "Yasuhide", "non-dropping-particle" : "", "parse-names" : false, "suffix" : "" } ], "container-title" : "Investigational New Drugs", "id" : "ITEM-1", "issue" : "4", "issued" : { "date-parts" : [ [ "2017", "8", "1" ] ] }, "page" : "451-462", "publisher" : "Springer New York LLC", "title" : "Safety, tolerability and pharmacokinetics of the fibroblast growth factor receptor inhibitor AZD4547 in Japanese patients with advanced solid tumours: a Phase I study", "type" : "article-journal", "volume" : "35" }, "uris" : [ "http://www.mendeley.com/documents/?uuid=fbae88f5-8999-396e-9a39-9c87630ba0ed" ] }, { "id" : "ITEM-2", "itemData" : { "URL" : "https://www.ema.europa.eu/en/medicines/human/EPAR/sprycel", "accessed" : { "date-parts" : [ [ "2019", "11", "28" ] ] }, "id" : "ITEM-2", "issued" : { "date-parts" : [ [ "0" ] ] }, "title" : "Sprycel | European Medicines Agency", "type" : "webpage" }, "uris" : [ "http://www.mendeley.com/documents/?uuid=95bcd5af-78c7-38f1-84b6-30ac50435874" ] }, { "id" : "ITEM-3", "itemData" : { "URL" : "https://www.ema.europa.eu/en/medicines/human/EPAR/tarceva", "accessed" : { "date-parts" : [ [ "2019", "11", "28" ] ] }, "id" : "ITEM-3", "issued" : { "date-parts" : [ [ "0" ] ] }, "title" : "Tarceva | European Medicines Agency", "type" : "webpage" }, "uris" : [ "http://www.mendeley.com/documents/?uuid=790da904-7e05-3d1d-bcf4-08e310803022" ] } ], "mendeley" : { "formattedCitation" : "[24\u201326]", "plainTextFormattedCitation" : "[24\u201326]", "previouslyFormattedCitation" : "[24\u201326]" }, "properties" : { "noteIndex" : 0 }, "schema" : "https://github.com/citation-style-language/schema/raw/master/csl-citation.json" }</w:instrText>
      </w:r>
      <w:r w:rsidR="00C41019">
        <w:rPr>
          <w:rFonts w:ascii="Arial" w:hAnsi="Arial" w:cs="Arial"/>
        </w:rPr>
        <w:fldChar w:fldCharType="separate"/>
      </w:r>
      <w:r w:rsidR="00452C63" w:rsidRPr="00452C63">
        <w:rPr>
          <w:rFonts w:ascii="Arial" w:hAnsi="Arial" w:cs="Arial"/>
          <w:noProof/>
        </w:rPr>
        <w:t>[24–26]</w:t>
      </w:r>
      <w:r w:rsidR="00C41019">
        <w:rPr>
          <w:rFonts w:ascii="Arial" w:hAnsi="Arial" w:cs="Arial"/>
        </w:rPr>
        <w:fldChar w:fldCharType="end"/>
      </w:r>
      <w:r w:rsidR="00C41019">
        <w:rPr>
          <w:rFonts w:ascii="Arial" w:hAnsi="Arial" w:cs="Arial"/>
        </w:rPr>
        <w:t xml:space="preserve"> </w:t>
      </w:r>
      <w:r w:rsidR="00F447E0">
        <w:rPr>
          <w:rFonts w:ascii="Arial" w:hAnsi="Arial" w:cs="Arial"/>
        </w:rPr>
        <w:t>. W</w:t>
      </w:r>
      <w:r w:rsidR="0002303E">
        <w:rPr>
          <w:rFonts w:ascii="Arial" w:hAnsi="Arial" w:cs="Arial"/>
        </w:rPr>
        <w:t xml:space="preserve">e first established a non-linear dose response curve of the drug concentration in patient blood </w:t>
      </w:r>
      <w:r w:rsidR="00F447E0">
        <w:rPr>
          <w:rFonts w:ascii="Arial" w:hAnsi="Arial" w:cs="Arial"/>
        </w:rPr>
        <w:t>in these studies. Second</w:t>
      </w:r>
      <w:r w:rsidR="0002303E">
        <w:rPr>
          <w:rFonts w:ascii="Arial" w:hAnsi="Arial" w:cs="Arial"/>
        </w:rPr>
        <w:t xml:space="preserve"> the </w:t>
      </w:r>
      <w:r w:rsidR="0002303E">
        <w:rPr>
          <w:rFonts w:ascii="Arial" w:hAnsi="Arial" w:cs="Arial"/>
          <w:i/>
        </w:rPr>
        <w:t>in vivo</w:t>
      </w:r>
      <w:r w:rsidR="00F447E0">
        <w:rPr>
          <w:rFonts w:ascii="Arial" w:hAnsi="Arial" w:cs="Arial"/>
        </w:rPr>
        <w:t xml:space="preserve"> doses used in the mouse models here, were converted</w:t>
      </w:r>
      <w:r w:rsidR="0002303E">
        <w:rPr>
          <w:rFonts w:ascii="Arial" w:hAnsi="Arial" w:cs="Arial"/>
        </w:rPr>
        <w:t xml:space="preserve"> to human doses and interpolated in the non-linear dose response curve of patient data</w:t>
      </w:r>
      <w:r w:rsidR="00F447E0">
        <w:rPr>
          <w:rFonts w:ascii="Arial" w:hAnsi="Arial" w:cs="Arial"/>
        </w:rPr>
        <w:t>, to arrive at corresponding concentrations.</w:t>
      </w:r>
      <w:r w:rsidR="0002303E">
        <w:rPr>
          <w:rFonts w:ascii="Arial" w:hAnsi="Arial" w:cs="Arial"/>
        </w:rPr>
        <w:t xml:space="preserve"> </w:t>
      </w:r>
    </w:p>
    <w:p w:rsidR="00AD7288" w:rsidRPr="0002303E" w:rsidRDefault="00AD7288" w:rsidP="00945FA0">
      <w:pPr>
        <w:spacing w:after="0" w:line="480" w:lineRule="auto"/>
        <w:rPr>
          <w:rFonts w:ascii="Arial" w:hAnsi="Arial" w:cs="Arial"/>
          <w:b/>
          <w:sz w:val="20"/>
          <w:szCs w:val="20"/>
          <w:lang w:val="en-GB"/>
        </w:rPr>
      </w:pPr>
    </w:p>
    <w:p w:rsidR="00184D31" w:rsidRPr="00184D31" w:rsidRDefault="00184D31" w:rsidP="00945FA0">
      <w:pPr>
        <w:spacing w:after="0" w:line="480" w:lineRule="auto"/>
        <w:rPr>
          <w:rFonts w:ascii="Arial" w:hAnsi="Arial" w:cs="Arial"/>
          <w:i/>
          <w:sz w:val="20"/>
          <w:szCs w:val="20"/>
        </w:rPr>
      </w:pPr>
      <w:proofErr w:type="spellStart"/>
      <w:r w:rsidRPr="00184D31">
        <w:rPr>
          <w:rFonts w:ascii="Arial" w:hAnsi="Arial" w:cs="Arial"/>
          <w:i/>
          <w:sz w:val="20"/>
          <w:szCs w:val="20"/>
        </w:rPr>
        <w:t>Phosphopeptide</w:t>
      </w:r>
      <w:proofErr w:type="spellEnd"/>
      <w:r w:rsidRPr="00184D31">
        <w:rPr>
          <w:rFonts w:ascii="Arial" w:hAnsi="Arial" w:cs="Arial"/>
          <w:i/>
          <w:sz w:val="20"/>
          <w:szCs w:val="20"/>
        </w:rPr>
        <w:t xml:space="preserve"> enrichment</w:t>
      </w:r>
    </w:p>
    <w:p w:rsidR="00184D31" w:rsidRPr="00AA6F73" w:rsidRDefault="00184D31" w:rsidP="00945FA0">
      <w:pPr>
        <w:spacing w:after="0" w:line="480" w:lineRule="auto"/>
        <w:ind w:firstLine="720"/>
        <w:rPr>
          <w:rFonts w:ascii="Arial" w:hAnsi="Arial" w:cs="Arial"/>
          <w:sz w:val="20"/>
          <w:szCs w:val="20"/>
        </w:rPr>
      </w:pPr>
      <w:r w:rsidRPr="00AA6F73">
        <w:rPr>
          <w:rFonts w:ascii="Arial" w:hAnsi="Arial" w:cs="Arial"/>
          <w:sz w:val="20"/>
          <w:szCs w:val="20"/>
        </w:rPr>
        <w:t xml:space="preserve">Cells were washed once in phosphate-buffered saline (PBS) prior to lysis in </w:t>
      </w:r>
      <w:proofErr w:type="spellStart"/>
      <w:r w:rsidRPr="00AA6F73">
        <w:rPr>
          <w:rFonts w:ascii="Arial" w:hAnsi="Arial" w:cs="Arial"/>
          <w:sz w:val="20"/>
          <w:szCs w:val="20"/>
        </w:rPr>
        <w:t>lysisbuffer</w:t>
      </w:r>
      <w:proofErr w:type="spellEnd"/>
      <w:r w:rsidRPr="00AA6F73">
        <w:rPr>
          <w:rFonts w:ascii="Arial" w:hAnsi="Arial" w:cs="Arial"/>
          <w:sz w:val="20"/>
          <w:szCs w:val="20"/>
        </w:rPr>
        <w:t xml:space="preserve"> (9M urea buffer containing 20 </w:t>
      </w:r>
      <w:proofErr w:type="spellStart"/>
      <w:r w:rsidRPr="00AA6F73">
        <w:rPr>
          <w:rFonts w:ascii="Arial" w:hAnsi="Arial" w:cs="Arial"/>
          <w:sz w:val="20"/>
          <w:szCs w:val="20"/>
        </w:rPr>
        <w:t>mM</w:t>
      </w:r>
      <w:proofErr w:type="spellEnd"/>
      <w:r w:rsidRPr="00AA6F73">
        <w:rPr>
          <w:rFonts w:ascii="Arial" w:hAnsi="Arial" w:cs="Arial"/>
          <w:sz w:val="20"/>
          <w:szCs w:val="20"/>
        </w:rPr>
        <w:t xml:space="preserve"> HEPES pH 8.0 and phosphatase inhibitors)</w:t>
      </w:r>
      <w:r>
        <w:rPr>
          <w:rFonts w:ascii="Arial" w:hAnsi="Arial" w:cs="Arial"/>
          <w:sz w:val="20"/>
          <w:szCs w:val="20"/>
        </w:rPr>
        <w:t>and were processed as described previously</w:t>
      </w:r>
      <w:r w:rsidRPr="00E84D95">
        <w:rPr>
          <w:rFonts w:ascii="Arial" w:hAnsi="Arial" w:cs="Arial"/>
          <w:sz w:val="20"/>
          <w:szCs w:val="20"/>
        </w:rPr>
        <w:fldChar w:fldCharType="begin" w:fldLock="1"/>
      </w:r>
      <w:r w:rsidR="00452C63">
        <w:rPr>
          <w:rFonts w:ascii="Arial" w:hAnsi="Arial" w:cs="Arial"/>
          <w:sz w:val="20"/>
          <w:szCs w:val="20"/>
        </w:rPr>
        <w:instrText>ADDIN CSL_CITATION { "citationItems" : [ { "id" : "ITEM-1", "itemData" : { "DOI" : "10.15252/msb.20188250", "ISSN" : "1744-4292 (Electronic)", "PMID" : "30979792", "abstract" : "Identifying hyperactive kinases in cancer is crucial for individualized treatment with specific inhibitors. Kinase activity can be discerned from global protein phosphorylation profiles obtained with mass spectrometry-based phosphoproteomics. A major challenge is to relate such profiles to specific hyperactive kinases fueling growth/progression of individual tumors. Hitherto, the focus has been on phosphorylation of either kinases or their substrates. Here, we combined label-free kinase-centric and substrate-centric information in an Integrative Inferred Kinase Activity (INKA) analysis. This multipronged, stringent analysis enables ranking of kinase activity and visualization of kinase-substrate networks in a single biological sample. To demonstrate utility, we analyzed (i) cancer cell lines with known oncogenes, (ii) cell lines in a differential setting (wild-type versus mutant, +/- drug), (iii) pre- and on-treatment tumor needle biopsies, (iv) cancer cell panel with available drug sensitivity data, and (v) patient-derived tumor xenografts with INKA-guided drug selection and testing. These analyses show superior performance of INKA over its components and substrate-based single-sample tool KARP, and underscore target potential of high-ranking kinases, encouraging further exploration of INKA's functional and clinical value.", "author" : [ { "dropping-particle" : "", "family" : "Beekhof", "given" : "Robin", "non-dropping-particle" : "", "parse-names" : false, "suffix" : "" }, { "dropping-particle" : "", "family" : "Alphen", "given" : "Carolien", "non-dropping-particle" : "van", "parse-names" : false, "suffix" : "" }, { "dropping-particle" : "", "family" : "Henneman", "given" : "Alex A", "non-dropping-particle" : "", "parse-names" : false, "suffix" : "" }, { "dropping-particle" : "", "family" : "Knol", "given" : "Jaco C", "non-dropping-particle" : "", "parse-names" : false, "suffix" : "" }, { "dropping-particle" : "V", "family" : "Pham", "given" : "Thang", "non-dropping-particle" : "", "parse-names" : false, "suffix" : "" }, { "dropping-particle" : "", "family" : "Rolfs", "given" : "Frank", "non-dropping-particle" : "", "parse-names" : false, "suffix" : "" }, { "dropping-particle" : "", "family" : "Labots", "given" : "Mariette", "non-dropping-particle" : "", "parse-names" : false, "suffix" : "" }, { "dropping-particle" : "", "family" : "Henneberry", "given" : "Evan", "non-dropping-particle" : "", "parse-names" : false, "suffix" : "" }, { "dropping-particle" : "", "family" : "Large", "given" : "Tessa Ys", "non-dropping-particle" : "Le", "parse-names" : false, "suffix" : "" }, { "dropping-particle" : "", "family" : "Haas", "given" : "Richard R", "non-dropping-particle" : "de", "parse-names" : false, "suffix" : "" }, { "dropping-particle" : "", "family" : "Piersma", "given" : "Sander R", "non-dropping-particle" : "", "parse-names" : false, "suffix" : "" }, { "dropping-particle" : "", "family" : "Vurchio", "given" : "Valentina", "non-dropping-particle" : "", "parse-names" : false, "suffix" : "" }, { "dropping-particle" : "", "family" : "Bertotti", "given" : "Andrea", "non-dropping-particle" : "", "parse-names" : false, "suffix" : "" }, { "dropping-particle" : "", "family" : "Trusolino", "given" : "Livio", "non-dropping-particle" : "", "parse-names" : false, "suffix" : "" }, { "dropping-particle" : "", "family" : "Verheul", "given" : "Henk Mw", "non-dropping-particle" : "", "parse-names" : false, "suffix" : "" }, { "dropping-particle" : "", "family" : "Jimenez", "given" : "Connie R", "non-dropping-particle" : "", "parse-names" : false, "suffix" : "" } ], "container-title" : "Molecular systems biology", "id" : "ITEM-1", "issue" : "4", "issued" : { "date-parts" : [ [ "2019", "4" ] ] }, "language" : "eng", "page" : "e8250", "publisher-place" : "England", "title" : "INKA, an integrative data analysis pipeline for phosphoproteomic inference of active kinases.", "type" : "article-journal", "volume" : "15" }, "uris" : [ "http://www.mendeley.com/documents/?uuid=fc2f5c3c-f4b8-4606-bd35-804d33640d1a" ] } ], "mendeley" : { "formattedCitation" : "[27]", "plainTextFormattedCitation" : "[27]", "previouslyFormattedCitation" : "[27]" }, "properties" : { "noteIndex" : 0 }, "schema" : "https://github.com/citation-style-language/schema/raw/master/csl-citation.json" }</w:instrText>
      </w:r>
      <w:r w:rsidRPr="00E84D95">
        <w:rPr>
          <w:rFonts w:ascii="Arial" w:hAnsi="Arial" w:cs="Arial"/>
          <w:sz w:val="20"/>
          <w:szCs w:val="20"/>
        </w:rPr>
        <w:fldChar w:fldCharType="separate"/>
      </w:r>
      <w:r w:rsidR="00452C63" w:rsidRPr="00452C63">
        <w:rPr>
          <w:rFonts w:ascii="Arial" w:hAnsi="Arial" w:cs="Arial"/>
          <w:noProof/>
          <w:sz w:val="20"/>
          <w:szCs w:val="20"/>
        </w:rPr>
        <w:t>[27]</w:t>
      </w:r>
      <w:r w:rsidRPr="00E84D95">
        <w:rPr>
          <w:rFonts w:ascii="Arial" w:hAnsi="Arial" w:cs="Arial"/>
          <w:sz w:val="20"/>
          <w:szCs w:val="20"/>
        </w:rPr>
        <w:fldChar w:fldCharType="end"/>
      </w:r>
      <w:r>
        <w:rPr>
          <w:rFonts w:ascii="Arial" w:hAnsi="Arial" w:cs="Arial"/>
          <w:sz w:val="20"/>
          <w:szCs w:val="20"/>
        </w:rPr>
        <w:t xml:space="preserve">. </w:t>
      </w:r>
      <w:r w:rsidRPr="00AA6F73">
        <w:rPr>
          <w:rFonts w:ascii="Arial" w:hAnsi="Arial" w:cs="Arial"/>
          <w:sz w:val="20"/>
          <w:szCs w:val="20"/>
        </w:rPr>
        <w:t>Ce</w:t>
      </w:r>
      <w:r>
        <w:rPr>
          <w:rFonts w:ascii="Arial" w:hAnsi="Arial" w:cs="Arial"/>
          <w:sz w:val="20"/>
          <w:szCs w:val="20"/>
        </w:rPr>
        <w:t xml:space="preserve">lls were scraped and sonicated on ice using a </w:t>
      </w:r>
      <w:proofErr w:type="spellStart"/>
      <w:r>
        <w:rPr>
          <w:rFonts w:ascii="Arial" w:hAnsi="Arial" w:cs="Arial"/>
          <w:sz w:val="20"/>
          <w:szCs w:val="20"/>
        </w:rPr>
        <w:t>Soniprep</w:t>
      </w:r>
      <w:proofErr w:type="spellEnd"/>
      <w:r>
        <w:rPr>
          <w:rFonts w:ascii="Arial" w:hAnsi="Arial" w:cs="Arial"/>
          <w:sz w:val="20"/>
          <w:szCs w:val="20"/>
        </w:rPr>
        <w:t xml:space="preserve"> 150 tip </w:t>
      </w:r>
      <w:proofErr w:type="spellStart"/>
      <w:r>
        <w:rPr>
          <w:rFonts w:ascii="Arial" w:hAnsi="Arial" w:cs="Arial"/>
          <w:sz w:val="20"/>
          <w:szCs w:val="20"/>
        </w:rPr>
        <w:t>sonicator</w:t>
      </w:r>
      <w:proofErr w:type="spellEnd"/>
      <w:r>
        <w:rPr>
          <w:rFonts w:ascii="Arial" w:hAnsi="Arial" w:cs="Arial"/>
          <w:sz w:val="20"/>
          <w:szCs w:val="20"/>
        </w:rPr>
        <w:t xml:space="preserve">. </w:t>
      </w:r>
      <w:r w:rsidRPr="00AA6F73">
        <w:rPr>
          <w:rFonts w:ascii="Arial" w:hAnsi="Arial" w:cs="Arial"/>
          <w:sz w:val="20"/>
          <w:szCs w:val="20"/>
        </w:rPr>
        <w:t xml:space="preserve">Subsequent centrifugation of the lysate was performed for 15 min at maximum speed. The cleared lysate was </w:t>
      </w:r>
      <w:proofErr w:type="spellStart"/>
      <w:r w:rsidRPr="00AA6F73">
        <w:rPr>
          <w:rFonts w:ascii="Arial" w:hAnsi="Arial" w:cs="Arial"/>
          <w:sz w:val="20"/>
          <w:szCs w:val="20"/>
        </w:rPr>
        <w:t>aliquotted</w:t>
      </w:r>
      <w:proofErr w:type="spellEnd"/>
      <w:r w:rsidRPr="00AA6F73">
        <w:rPr>
          <w:rFonts w:ascii="Arial" w:hAnsi="Arial" w:cs="Arial"/>
          <w:sz w:val="20"/>
          <w:szCs w:val="20"/>
        </w:rPr>
        <w:t xml:space="preserve"> and stored at -80 °C until further use. Lysates were reduced in 4 </w:t>
      </w:r>
      <w:proofErr w:type="spellStart"/>
      <w:r w:rsidRPr="00AA6F73">
        <w:rPr>
          <w:rFonts w:ascii="Arial" w:hAnsi="Arial" w:cs="Arial"/>
          <w:sz w:val="20"/>
          <w:szCs w:val="20"/>
        </w:rPr>
        <w:t>mM</w:t>
      </w:r>
      <w:proofErr w:type="spellEnd"/>
      <w:r w:rsidRPr="00AA6F73">
        <w:rPr>
          <w:rFonts w:ascii="Arial" w:hAnsi="Arial" w:cs="Arial"/>
          <w:sz w:val="20"/>
          <w:szCs w:val="20"/>
        </w:rPr>
        <w:t xml:space="preserve"> </w:t>
      </w:r>
      <w:proofErr w:type="spellStart"/>
      <w:r w:rsidRPr="00AA6F73">
        <w:rPr>
          <w:rFonts w:ascii="Arial" w:hAnsi="Arial" w:cs="Arial"/>
          <w:sz w:val="20"/>
          <w:szCs w:val="20"/>
        </w:rPr>
        <w:t>dithiotreitol</w:t>
      </w:r>
      <w:proofErr w:type="spellEnd"/>
      <w:r w:rsidRPr="00AA6F73">
        <w:rPr>
          <w:rFonts w:ascii="Arial" w:hAnsi="Arial" w:cs="Arial"/>
          <w:sz w:val="20"/>
          <w:szCs w:val="20"/>
        </w:rPr>
        <w:t xml:space="preserve"> (DTT) for 20 min at 60°C, cooled to room temperature and subsequently alkylated in 10 </w:t>
      </w:r>
      <w:proofErr w:type="spellStart"/>
      <w:r w:rsidRPr="00AA6F73">
        <w:rPr>
          <w:rFonts w:ascii="Arial" w:hAnsi="Arial" w:cs="Arial"/>
          <w:sz w:val="20"/>
          <w:szCs w:val="20"/>
        </w:rPr>
        <w:t>mM</w:t>
      </w:r>
      <w:proofErr w:type="spellEnd"/>
      <w:r w:rsidRPr="00AA6F73">
        <w:rPr>
          <w:rFonts w:ascii="Arial" w:hAnsi="Arial" w:cs="Arial"/>
          <w:sz w:val="20"/>
          <w:szCs w:val="20"/>
        </w:rPr>
        <w:t xml:space="preserve"> </w:t>
      </w:r>
      <w:proofErr w:type="spellStart"/>
      <w:r w:rsidRPr="00AA6F73">
        <w:rPr>
          <w:rFonts w:ascii="Arial" w:hAnsi="Arial" w:cs="Arial"/>
          <w:sz w:val="20"/>
          <w:szCs w:val="20"/>
        </w:rPr>
        <w:t>iodoacetamide</w:t>
      </w:r>
      <w:proofErr w:type="spellEnd"/>
      <w:r w:rsidRPr="00AA6F73">
        <w:rPr>
          <w:rFonts w:ascii="Arial" w:hAnsi="Arial" w:cs="Arial"/>
          <w:sz w:val="20"/>
          <w:szCs w:val="20"/>
        </w:rPr>
        <w:t xml:space="preserve"> for 15 min in the dark. After dilution to 2M urea using 20 </w:t>
      </w:r>
      <w:proofErr w:type="spellStart"/>
      <w:r w:rsidRPr="00AA6F73">
        <w:rPr>
          <w:rFonts w:ascii="Arial" w:hAnsi="Arial" w:cs="Arial"/>
          <w:sz w:val="20"/>
          <w:szCs w:val="20"/>
        </w:rPr>
        <w:t>mM</w:t>
      </w:r>
      <w:proofErr w:type="spellEnd"/>
      <w:r w:rsidRPr="00AA6F73">
        <w:rPr>
          <w:rFonts w:ascii="Arial" w:hAnsi="Arial" w:cs="Arial"/>
          <w:sz w:val="20"/>
          <w:szCs w:val="20"/>
        </w:rPr>
        <w:t xml:space="preserve"> HEPES buffer pH 8.0, the lysate was digested with 20 µg Sequencing Grade Modified trypsin/mg protein by overnight incubation at 22°C. Digestion was </w:t>
      </w:r>
      <w:r>
        <w:rPr>
          <w:rFonts w:ascii="Arial" w:hAnsi="Arial" w:cs="Arial"/>
          <w:sz w:val="20"/>
          <w:szCs w:val="20"/>
        </w:rPr>
        <w:t>stopped</w:t>
      </w:r>
      <w:r w:rsidRPr="00AA6F73">
        <w:rPr>
          <w:rFonts w:ascii="Arial" w:hAnsi="Arial" w:cs="Arial"/>
          <w:sz w:val="20"/>
          <w:szCs w:val="20"/>
        </w:rPr>
        <w:t xml:space="preserve"> by adding trifluoroacetic acid (TFA) to a final concentration of 1%. Samples were then incubated for 15 min on ice, centrifuged for 5 min at 1800 x g and transferred to a new tube. Tryptic digests were desalted using </w:t>
      </w:r>
      <w:r>
        <w:rPr>
          <w:rFonts w:ascii="Arial" w:hAnsi="Arial" w:cs="Arial"/>
          <w:sz w:val="20"/>
          <w:szCs w:val="20"/>
        </w:rPr>
        <w:t>6 cc</w:t>
      </w:r>
      <w:r w:rsidRPr="00AA6F73">
        <w:rPr>
          <w:rFonts w:ascii="Arial" w:hAnsi="Arial" w:cs="Arial"/>
          <w:sz w:val="20"/>
          <w:szCs w:val="20"/>
        </w:rPr>
        <w:t xml:space="preserve"> </w:t>
      </w:r>
      <w:r>
        <w:rPr>
          <w:rFonts w:ascii="Arial" w:hAnsi="Arial" w:cs="Arial"/>
          <w:sz w:val="20"/>
          <w:szCs w:val="20"/>
        </w:rPr>
        <w:t>HLB Oasis</w:t>
      </w:r>
      <w:r w:rsidRPr="00AA6F73">
        <w:rPr>
          <w:rFonts w:ascii="Arial" w:hAnsi="Arial" w:cs="Arial"/>
          <w:sz w:val="20"/>
          <w:szCs w:val="20"/>
        </w:rPr>
        <w:t xml:space="preserve"> cartridges (Waters, Milford, MA) placed on a vacuum system. Bound </w:t>
      </w:r>
      <w:r w:rsidRPr="00AA6F73">
        <w:rPr>
          <w:rFonts w:ascii="Arial" w:hAnsi="Arial" w:cs="Arial"/>
          <w:sz w:val="20"/>
          <w:szCs w:val="20"/>
        </w:rPr>
        <w:lastRenderedPageBreak/>
        <w:t xml:space="preserve">peptides were washed using 0.1% TFA before elution to glass vials in 40% ACN/0.1% TFA. Eluates were lyophilized </w:t>
      </w:r>
      <w:r>
        <w:rPr>
          <w:rFonts w:ascii="Arial" w:hAnsi="Arial" w:cs="Arial"/>
          <w:sz w:val="20"/>
          <w:szCs w:val="20"/>
        </w:rPr>
        <w:t xml:space="preserve">to dryness </w:t>
      </w:r>
      <w:r w:rsidRPr="00AA6F73">
        <w:rPr>
          <w:rFonts w:ascii="Arial" w:hAnsi="Arial" w:cs="Arial"/>
          <w:sz w:val="20"/>
          <w:szCs w:val="20"/>
        </w:rPr>
        <w:t>for 48 hours and stor</w:t>
      </w:r>
      <w:r>
        <w:rPr>
          <w:rFonts w:ascii="Arial" w:hAnsi="Arial" w:cs="Arial"/>
          <w:sz w:val="20"/>
          <w:szCs w:val="20"/>
        </w:rPr>
        <w:t xml:space="preserve">ed at -80 ºC until further use. </w:t>
      </w:r>
      <w:r w:rsidRPr="00AA6F73">
        <w:rPr>
          <w:rFonts w:ascii="Arial" w:hAnsi="Arial" w:cs="Arial"/>
          <w:sz w:val="20"/>
          <w:szCs w:val="20"/>
        </w:rPr>
        <w:t xml:space="preserve">Enrichment for tyrosine phosphorylated </w:t>
      </w:r>
      <w:proofErr w:type="spellStart"/>
      <w:r w:rsidRPr="00AA6F73">
        <w:rPr>
          <w:rFonts w:ascii="Arial" w:hAnsi="Arial" w:cs="Arial"/>
          <w:sz w:val="20"/>
          <w:szCs w:val="20"/>
        </w:rPr>
        <w:t>phosphopeptides</w:t>
      </w:r>
      <w:proofErr w:type="spellEnd"/>
      <w:r w:rsidRPr="00AA6F73">
        <w:rPr>
          <w:rFonts w:ascii="Arial" w:hAnsi="Arial" w:cs="Arial"/>
          <w:sz w:val="20"/>
          <w:szCs w:val="20"/>
        </w:rPr>
        <w:t xml:space="preserve"> was performed using the anti-</w:t>
      </w:r>
      <w:proofErr w:type="spellStart"/>
      <w:r w:rsidRPr="00AA6F73">
        <w:rPr>
          <w:rFonts w:ascii="Arial" w:hAnsi="Arial" w:cs="Arial"/>
          <w:sz w:val="20"/>
          <w:szCs w:val="20"/>
        </w:rPr>
        <w:t>phosphotyrosine</w:t>
      </w:r>
      <w:proofErr w:type="spellEnd"/>
      <w:r w:rsidRPr="00AA6F73">
        <w:rPr>
          <w:rFonts w:ascii="Arial" w:hAnsi="Arial" w:cs="Arial"/>
          <w:sz w:val="20"/>
          <w:szCs w:val="20"/>
        </w:rPr>
        <w:t xml:space="preserve"> antibody P-Tyr-1000 coupled to agarose beads (</w:t>
      </w:r>
      <w:proofErr w:type="spellStart"/>
      <w:r w:rsidRPr="00AA6F73">
        <w:rPr>
          <w:rFonts w:ascii="Arial" w:hAnsi="Arial" w:cs="Arial"/>
          <w:sz w:val="20"/>
          <w:szCs w:val="20"/>
        </w:rPr>
        <w:t>PTMScan</w:t>
      </w:r>
      <w:proofErr w:type="spellEnd"/>
      <w:r w:rsidRPr="00AA6F73">
        <w:rPr>
          <w:rFonts w:ascii="Arial" w:hAnsi="Arial" w:cs="Arial"/>
          <w:sz w:val="20"/>
          <w:szCs w:val="20"/>
        </w:rPr>
        <w:t xml:space="preserve">, Cell Signaling Technology). Briefly, </w:t>
      </w:r>
      <w:r>
        <w:rPr>
          <w:rFonts w:ascii="Arial" w:hAnsi="Arial" w:cs="Arial"/>
          <w:sz w:val="20"/>
          <w:szCs w:val="20"/>
        </w:rPr>
        <w:t>5</w:t>
      </w:r>
      <w:r w:rsidRPr="00AA6F73">
        <w:rPr>
          <w:rFonts w:ascii="Arial" w:hAnsi="Arial" w:cs="Arial"/>
          <w:sz w:val="20"/>
          <w:szCs w:val="20"/>
        </w:rPr>
        <w:t xml:space="preserve"> mg lyophilized </w:t>
      </w:r>
      <w:proofErr w:type="spellStart"/>
      <w:r w:rsidRPr="00AA6F73">
        <w:rPr>
          <w:rFonts w:ascii="Arial" w:hAnsi="Arial" w:cs="Arial"/>
          <w:sz w:val="20"/>
          <w:szCs w:val="20"/>
        </w:rPr>
        <w:t>phosphopeptides</w:t>
      </w:r>
      <w:proofErr w:type="spellEnd"/>
      <w:r w:rsidRPr="00AA6F73">
        <w:rPr>
          <w:rFonts w:ascii="Arial" w:hAnsi="Arial" w:cs="Arial"/>
          <w:sz w:val="20"/>
          <w:szCs w:val="20"/>
        </w:rPr>
        <w:t xml:space="preserve"> were dissolved in IAP buffer (20 </w:t>
      </w:r>
      <w:proofErr w:type="spellStart"/>
      <w:r w:rsidRPr="00AA6F73">
        <w:rPr>
          <w:rFonts w:ascii="Arial" w:hAnsi="Arial" w:cs="Arial"/>
          <w:sz w:val="20"/>
          <w:szCs w:val="20"/>
        </w:rPr>
        <w:t>mM</w:t>
      </w:r>
      <w:proofErr w:type="spellEnd"/>
      <w:r w:rsidRPr="00AA6F73">
        <w:rPr>
          <w:rFonts w:ascii="Arial" w:hAnsi="Arial" w:cs="Arial"/>
          <w:sz w:val="20"/>
          <w:szCs w:val="20"/>
        </w:rPr>
        <w:t xml:space="preserve"> </w:t>
      </w:r>
      <w:proofErr w:type="spellStart"/>
      <w:r w:rsidRPr="00AA6F73">
        <w:rPr>
          <w:rFonts w:ascii="Arial" w:hAnsi="Arial" w:cs="Arial"/>
          <w:sz w:val="20"/>
          <w:szCs w:val="20"/>
        </w:rPr>
        <w:t>Tris-HCl</w:t>
      </w:r>
      <w:proofErr w:type="spellEnd"/>
      <w:r w:rsidRPr="00AA6F73">
        <w:rPr>
          <w:rFonts w:ascii="Arial" w:hAnsi="Arial" w:cs="Arial"/>
          <w:sz w:val="20"/>
          <w:szCs w:val="20"/>
        </w:rPr>
        <w:t xml:space="preserve"> pH 7.2, 10 </w:t>
      </w:r>
      <w:proofErr w:type="spellStart"/>
      <w:r w:rsidRPr="00AA6F73">
        <w:rPr>
          <w:rFonts w:ascii="Arial" w:hAnsi="Arial" w:cs="Arial"/>
          <w:sz w:val="20"/>
          <w:szCs w:val="20"/>
        </w:rPr>
        <w:t>mM</w:t>
      </w:r>
      <w:proofErr w:type="spellEnd"/>
      <w:r w:rsidRPr="00AA6F73">
        <w:rPr>
          <w:rFonts w:ascii="Arial" w:hAnsi="Arial" w:cs="Arial"/>
          <w:sz w:val="20"/>
          <w:szCs w:val="20"/>
        </w:rPr>
        <w:t xml:space="preserve"> sodium phosphate and 50 </w:t>
      </w:r>
      <w:proofErr w:type="spellStart"/>
      <w:r w:rsidRPr="00AA6F73">
        <w:rPr>
          <w:rFonts w:ascii="Arial" w:hAnsi="Arial" w:cs="Arial"/>
          <w:sz w:val="20"/>
          <w:szCs w:val="20"/>
        </w:rPr>
        <w:t>mM</w:t>
      </w:r>
      <w:proofErr w:type="spellEnd"/>
      <w:r w:rsidRPr="00AA6F73">
        <w:rPr>
          <w:rFonts w:ascii="Arial" w:hAnsi="Arial" w:cs="Arial"/>
          <w:sz w:val="20"/>
          <w:szCs w:val="20"/>
        </w:rPr>
        <w:t xml:space="preserve"> </w:t>
      </w:r>
      <w:proofErr w:type="spellStart"/>
      <w:r w:rsidRPr="00AA6F73">
        <w:rPr>
          <w:rFonts w:ascii="Arial" w:hAnsi="Arial" w:cs="Arial"/>
          <w:sz w:val="20"/>
          <w:szCs w:val="20"/>
        </w:rPr>
        <w:t>NaCl</w:t>
      </w:r>
      <w:proofErr w:type="spellEnd"/>
      <w:r w:rsidRPr="00AA6F73">
        <w:rPr>
          <w:rFonts w:ascii="Arial" w:hAnsi="Arial" w:cs="Arial"/>
          <w:sz w:val="20"/>
          <w:szCs w:val="20"/>
        </w:rPr>
        <w:t xml:space="preserve">) and incubated with 2 µl P-Tyr-1000 beads per mg protein at 4 ºC for 2 hours. After </w:t>
      </w:r>
      <w:r>
        <w:rPr>
          <w:rFonts w:ascii="Arial" w:hAnsi="Arial" w:cs="Arial"/>
          <w:sz w:val="20"/>
          <w:szCs w:val="20"/>
        </w:rPr>
        <w:t xml:space="preserve">sequential </w:t>
      </w:r>
      <w:r w:rsidRPr="00AA6F73">
        <w:rPr>
          <w:rFonts w:ascii="Arial" w:hAnsi="Arial" w:cs="Arial"/>
          <w:sz w:val="20"/>
          <w:szCs w:val="20"/>
        </w:rPr>
        <w:t>wash</w:t>
      </w:r>
      <w:r>
        <w:rPr>
          <w:rFonts w:ascii="Arial" w:hAnsi="Arial" w:cs="Arial"/>
          <w:sz w:val="20"/>
          <w:szCs w:val="20"/>
        </w:rPr>
        <w:t>es</w:t>
      </w:r>
      <w:r w:rsidRPr="00AA6F73">
        <w:rPr>
          <w:rFonts w:ascii="Arial" w:hAnsi="Arial" w:cs="Arial"/>
          <w:sz w:val="20"/>
          <w:szCs w:val="20"/>
        </w:rPr>
        <w:t xml:space="preserve"> in cold IAP buffer and MQ, peptides were eluted from the beads in two steps in 0.15% TFA, desalted </w:t>
      </w:r>
      <w:r>
        <w:rPr>
          <w:rFonts w:ascii="Arial" w:hAnsi="Arial" w:cs="Arial"/>
          <w:sz w:val="20"/>
          <w:szCs w:val="20"/>
        </w:rPr>
        <w:t>in</w:t>
      </w:r>
      <w:r w:rsidRPr="00AA6F73">
        <w:rPr>
          <w:rFonts w:ascii="Arial" w:hAnsi="Arial" w:cs="Arial"/>
          <w:sz w:val="20"/>
          <w:szCs w:val="20"/>
        </w:rPr>
        <w:t xml:space="preserve"> 20 </w:t>
      </w:r>
      <w:proofErr w:type="spellStart"/>
      <w:r w:rsidRPr="00AA6F73">
        <w:rPr>
          <w:rFonts w:ascii="Arial" w:hAnsi="Arial" w:cs="Arial"/>
          <w:sz w:val="20"/>
          <w:szCs w:val="20"/>
        </w:rPr>
        <w:t>ul</w:t>
      </w:r>
      <w:proofErr w:type="spellEnd"/>
      <w:r w:rsidRPr="00AA6F73">
        <w:rPr>
          <w:rFonts w:ascii="Arial" w:hAnsi="Arial" w:cs="Arial"/>
          <w:sz w:val="20"/>
          <w:szCs w:val="20"/>
        </w:rPr>
        <w:t xml:space="preserve"> </w:t>
      </w:r>
      <w:proofErr w:type="spellStart"/>
      <w:r w:rsidRPr="00AA6F73">
        <w:rPr>
          <w:rFonts w:ascii="Arial" w:hAnsi="Arial" w:cs="Arial"/>
          <w:sz w:val="20"/>
          <w:szCs w:val="20"/>
        </w:rPr>
        <w:t>StageTips</w:t>
      </w:r>
      <w:proofErr w:type="spellEnd"/>
      <w:r w:rsidRPr="00AA6F73">
        <w:rPr>
          <w:rFonts w:ascii="Arial" w:hAnsi="Arial" w:cs="Arial"/>
          <w:sz w:val="20"/>
          <w:szCs w:val="20"/>
        </w:rPr>
        <w:t xml:space="preserve"> </w:t>
      </w:r>
      <w:r>
        <w:rPr>
          <w:rFonts w:ascii="Arial" w:hAnsi="Arial" w:cs="Arial"/>
          <w:sz w:val="20"/>
          <w:szCs w:val="20"/>
        </w:rPr>
        <w:t xml:space="preserve">(1mm 3M SDB-XC membrane) </w:t>
      </w:r>
      <w:r w:rsidRPr="00AA6F73">
        <w:rPr>
          <w:rFonts w:ascii="Arial" w:hAnsi="Arial" w:cs="Arial"/>
          <w:sz w:val="20"/>
          <w:szCs w:val="20"/>
        </w:rPr>
        <w:t xml:space="preserve">using 0.1% TFA  and eluted with 80% ACN/0.1% TFA into glass-lined autosampler vials. Eluates were dried in a </w:t>
      </w:r>
      <w:proofErr w:type="spellStart"/>
      <w:r w:rsidRPr="00AA6F73">
        <w:rPr>
          <w:rFonts w:ascii="Arial" w:hAnsi="Arial" w:cs="Arial"/>
          <w:sz w:val="20"/>
          <w:szCs w:val="20"/>
        </w:rPr>
        <w:t>speedvac</w:t>
      </w:r>
      <w:proofErr w:type="spellEnd"/>
      <w:r w:rsidRPr="00AA6F73">
        <w:rPr>
          <w:rFonts w:ascii="Arial" w:hAnsi="Arial" w:cs="Arial"/>
          <w:sz w:val="20"/>
          <w:szCs w:val="20"/>
        </w:rPr>
        <w:t xml:space="preserve"> </w:t>
      </w:r>
      <w:r>
        <w:rPr>
          <w:rFonts w:ascii="Arial" w:hAnsi="Arial" w:cs="Arial"/>
          <w:sz w:val="20"/>
          <w:szCs w:val="20"/>
        </w:rPr>
        <w:t xml:space="preserve">at 45°C </w:t>
      </w:r>
      <w:r w:rsidRPr="00AA6F73">
        <w:rPr>
          <w:rFonts w:ascii="Arial" w:hAnsi="Arial" w:cs="Arial"/>
          <w:sz w:val="20"/>
          <w:szCs w:val="20"/>
        </w:rPr>
        <w:t xml:space="preserve">and </w:t>
      </w:r>
      <w:proofErr w:type="spellStart"/>
      <w:r w:rsidRPr="00AA6F73">
        <w:rPr>
          <w:rFonts w:ascii="Arial" w:hAnsi="Arial" w:cs="Arial"/>
          <w:sz w:val="20"/>
          <w:szCs w:val="20"/>
        </w:rPr>
        <w:t>redissolved</w:t>
      </w:r>
      <w:proofErr w:type="spellEnd"/>
      <w:r w:rsidRPr="00AA6F73">
        <w:rPr>
          <w:rFonts w:ascii="Arial" w:hAnsi="Arial" w:cs="Arial"/>
          <w:sz w:val="20"/>
          <w:szCs w:val="20"/>
        </w:rPr>
        <w:t xml:space="preserve"> in 20µl loading solvent (4% acetonitrile in 0.5% TFA)  and stored at 4˚ C until LC-MS/MS measurement on the same day. </w:t>
      </w:r>
      <w:r>
        <w:rPr>
          <w:rFonts w:ascii="Arial" w:hAnsi="Arial" w:cs="Arial"/>
          <w:sz w:val="20"/>
          <w:szCs w:val="20"/>
        </w:rPr>
        <w:t xml:space="preserve">For all </w:t>
      </w:r>
      <w:proofErr w:type="spellStart"/>
      <w:r>
        <w:rPr>
          <w:rFonts w:ascii="Arial" w:hAnsi="Arial" w:cs="Arial"/>
          <w:sz w:val="20"/>
          <w:szCs w:val="20"/>
        </w:rPr>
        <w:t>pTyr</w:t>
      </w:r>
      <w:proofErr w:type="spellEnd"/>
      <w:r>
        <w:rPr>
          <w:rFonts w:ascii="Arial" w:hAnsi="Arial" w:cs="Arial"/>
          <w:sz w:val="20"/>
          <w:szCs w:val="20"/>
        </w:rPr>
        <w:t xml:space="preserve"> samples corresponding lysate (1 µg on column) were also </w:t>
      </w:r>
      <w:proofErr w:type="spellStart"/>
      <w:r>
        <w:rPr>
          <w:rFonts w:ascii="Arial" w:hAnsi="Arial" w:cs="Arial"/>
          <w:sz w:val="20"/>
          <w:szCs w:val="20"/>
        </w:rPr>
        <w:t>analysed</w:t>
      </w:r>
      <w:proofErr w:type="spellEnd"/>
      <w:r>
        <w:rPr>
          <w:rFonts w:ascii="Arial" w:hAnsi="Arial" w:cs="Arial"/>
          <w:sz w:val="20"/>
          <w:szCs w:val="20"/>
        </w:rPr>
        <w:t xml:space="preserve"> for global protein expression.</w:t>
      </w:r>
    </w:p>
    <w:p w:rsidR="00184D31" w:rsidRPr="00AA6F73" w:rsidRDefault="00184D31" w:rsidP="00945FA0">
      <w:pPr>
        <w:spacing w:after="0" w:line="480" w:lineRule="auto"/>
        <w:ind w:firstLine="720"/>
        <w:rPr>
          <w:rFonts w:ascii="Arial" w:hAnsi="Arial" w:cs="Arial"/>
          <w:sz w:val="20"/>
          <w:szCs w:val="20"/>
        </w:rPr>
      </w:pPr>
    </w:p>
    <w:p w:rsidR="00D176C3" w:rsidRDefault="00D176C3" w:rsidP="00D25EB0">
      <w:pPr>
        <w:spacing w:after="0" w:line="480" w:lineRule="auto"/>
        <w:rPr>
          <w:rFonts w:ascii="Arial" w:hAnsi="Arial" w:cs="Arial"/>
          <w:sz w:val="20"/>
          <w:szCs w:val="20"/>
        </w:rPr>
      </w:pPr>
    </w:p>
    <w:p w:rsidR="00843C0D" w:rsidRPr="00D25EB0" w:rsidRDefault="00843C0D" w:rsidP="00843C0D">
      <w:pPr>
        <w:spacing w:after="0" w:line="480" w:lineRule="auto"/>
        <w:rPr>
          <w:rFonts w:ascii="Arial" w:hAnsi="Arial" w:cs="Arial"/>
          <w:i/>
          <w:sz w:val="20"/>
          <w:szCs w:val="20"/>
        </w:rPr>
      </w:pPr>
      <w:r w:rsidRPr="00D25EB0">
        <w:rPr>
          <w:rFonts w:ascii="Arial" w:hAnsi="Arial" w:cs="Arial"/>
          <w:i/>
          <w:sz w:val="20"/>
          <w:szCs w:val="20"/>
        </w:rPr>
        <w:t>LC-MS/MS</w:t>
      </w:r>
    </w:p>
    <w:p w:rsidR="00D176C3" w:rsidRDefault="00843C0D" w:rsidP="00D25EB0">
      <w:pPr>
        <w:spacing w:after="0" w:line="480" w:lineRule="auto"/>
        <w:rPr>
          <w:rFonts w:ascii="Arial" w:hAnsi="Arial" w:cs="Arial"/>
          <w:sz w:val="20"/>
          <w:szCs w:val="20"/>
        </w:rPr>
      </w:pPr>
      <w:r w:rsidRPr="00D25EB0">
        <w:rPr>
          <w:rFonts w:ascii="Arial" w:hAnsi="Arial" w:cs="Arial"/>
          <w:sz w:val="20"/>
          <w:szCs w:val="20"/>
        </w:rPr>
        <w:t xml:space="preserve">Global proteomics analysis and </w:t>
      </w:r>
      <w:proofErr w:type="spellStart"/>
      <w:r w:rsidRPr="00D25EB0">
        <w:rPr>
          <w:rFonts w:ascii="Arial" w:hAnsi="Arial" w:cs="Arial"/>
          <w:sz w:val="20"/>
          <w:szCs w:val="20"/>
        </w:rPr>
        <w:t>phosphoproteomics</w:t>
      </w:r>
      <w:proofErr w:type="spellEnd"/>
      <w:r w:rsidRPr="00D25EB0">
        <w:rPr>
          <w:rFonts w:ascii="Arial" w:hAnsi="Arial" w:cs="Arial"/>
          <w:sz w:val="20"/>
          <w:szCs w:val="20"/>
        </w:rPr>
        <w:t xml:space="preserve"> analysis were conducted according to established pipelines, as previously described </w:t>
      </w:r>
      <w:r w:rsidRPr="00D25EB0">
        <w:rPr>
          <w:rFonts w:ascii="Arial" w:hAnsi="Arial" w:cs="Arial"/>
          <w:sz w:val="20"/>
          <w:szCs w:val="20"/>
        </w:rPr>
        <w:fldChar w:fldCharType="begin" w:fldLock="1"/>
      </w:r>
      <w:r w:rsidRPr="00D25EB0">
        <w:rPr>
          <w:rFonts w:ascii="Arial" w:hAnsi="Arial" w:cs="Arial"/>
          <w:sz w:val="20"/>
          <w:szCs w:val="20"/>
        </w:rPr>
        <w:instrText>ADDIN CSL_CITATION { "citationItems" : [ { "id" : "ITEM-1", "itemData" : { "DOI" : "10.15252/msb.20188250", "ISSN" : "1744-4292 (Electronic)", "PMID" : "30979792", "abstract" : "Identifying hyperactive kinases in cancer is crucial for individualized treatment with specific inhibitors. Kinase activity can be discerned from global protein phosphorylation profiles obtained with mass spectrometry-based phosphoproteomics. A major challenge is to relate such profiles to specific hyperactive kinases fueling growth/progression of individual tumors. Hitherto, the focus has been on phosphorylation of either kinases or their substrates. Here, we combined label-free kinase-centric and substrate-centric information in an Integrative Inferred Kinase Activity (INKA) analysis. This multipronged, stringent analysis enables ranking of kinase activity and visualization of kinase-substrate networks in a single biological sample. To demonstrate utility, we analyzed (i) cancer cell lines with known oncogenes, (ii) cell lines in a differential setting (wild-type versus mutant, +/- drug), (iii) pre- and on-treatment tumor needle biopsies, (iv) cancer cell panel with available drug sensitivity data, and (v) patient-derived tumor xenografts with INKA-guided drug selection and testing. These analyses show superior performance of INKA over its components and substrate-based single-sample tool KARP, and underscore target potential of high-ranking kinases, encouraging further exploration of INKA's functional and clinical value.", "author" : [ { "dropping-particle" : "", "family" : "Beekhof", "given" : "Robin", "non-dropping-particle" : "", "parse-names" : false, "suffix" : "" }, { "dropping-particle" : "", "family" : "Alphen", "given" : "Carolien", "non-dropping-particle" : "van", "parse-names" : false, "suffix" : "" }, { "dropping-particle" : "", "family" : "Henneman", "given" : "Alex A", "non-dropping-particle" : "", "parse-names" : false, "suffix" : "" }, { "dropping-particle" : "", "family" : "Knol", "given" : "Jaco C", "non-dropping-particle" : "", "parse-names" : false, "suffix" : "" }, { "dropping-particle" : "V", "family" : "Pham", "given" : "Thang", "non-dropping-particle" : "", "parse-names" : false, "suffix" : "" }, { "dropping-particle" : "", "family" : "Rolfs", "given" : "Frank", "non-dropping-particle" : "", "parse-names" : false, "suffix" : "" }, { "dropping-particle" : "", "family" : "Labots", "given" : "Mariette", "non-dropping-particle" : "", "parse-names" : false, "suffix" : "" }, { "dropping-particle" : "", "family" : "Henneberry", "given" : "Evan", "non-dropping-particle" : "", "parse-names" : false, "suffix" : "" }, { "dropping-particle" : "", "family" : "Large", "given" : "Tessa Ys", "non-dropping-particle" : "Le", "parse-names" : false, "suffix" : "" }, { "dropping-particle" : "", "family" : "Haas", "given" : "Richard R", "non-dropping-particle" : "de", "parse-names" : false, "suffix" : "" }, { "dropping-particle" : "", "family" : "Piersma", "given" : "Sander R", "non-dropping-particle" : "", "parse-names" : false, "suffix" : "" }, { "dropping-particle" : "", "family" : "Vurchio", "given" : "Valentina", "non-dropping-particle" : "", "parse-names" : false, "suffix" : "" }, { "dropping-particle" : "", "family" : "Bertotti", "given" : "Andrea", "non-dropping-particle" : "", "parse-names" : false, "suffix" : "" }, { "dropping-particle" : "", "family" : "Trusolino", "given" : "Livio", "non-dropping-particle" : "", "parse-names" : false, "suffix" : "" }, { "dropping-particle" : "", "family" : "Verheul", "given" : "Henk Mw", "non-dropping-particle" : "", "parse-names" : false, "suffix" : "" }, { "dropping-particle" : "", "family" : "Jimenez", "given" : "Connie R", "non-dropping-particle" : "", "parse-names" : false, "suffix" : "" } ], "container-title" : "Molecular systems biology", "id" : "ITEM-1", "issue" : "4", "issued" : { "date-parts" : [ [ "2019", "4" ] ] }, "language" : "eng", "page" : "e8250", "publisher-place" : "England", "title" : "INKA, an integrative data analysis pipeline for phosphoproteomic inference of active kinases.", "type" : "article-journal", "volume" : "15" }, "uris" : [ "http://www.mendeley.com/documents/?uuid=fc2f5c3c-f4b8-4606-bd35-804d33640d1a" ] } ], "mendeley" : { "formattedCitation" : "[27]", "plainTextFormattedCitation" : "[27]", "previouslyFormattedCitation" : "[27]" }, "properties" : { "noteIndex" : 0 }, "schema" : "https://github.com/citation-style-language/schema/raw/master/csl-citation.json" }</w:instrText>
      </w:r>
      <w:r w:rsidRPr="00D25EB0">
        <w:rPr>
          <w:rFonts w:ascii="Arial" w:hAnsi="Arial" w:cs="Arial"/>
          <w:sz w:val="20"/>
          <w:szCs w:val="20"/>
        </w:rPr>
        <w:fldChar w:fldCharType="separate"/>
      </w:r>
      <w:r w:rsidRPr="00D25EB0">
        <w:rPr>
          <w:rFonts w:ascii="Arial" w:hAnsi="Arial" w:cs="Arial"/>
          <w:noProof/>
          <w:sz w:val="20"/>
          <w:szCs w:val="20"/>
        </w:rPr>
        <w:t>[27]</w:t>
      </w:r>
      <w:r w:rsidRPr="00D25EB0">
        <w:rPr>
          <w:rFonts w:ascii="Arial" w:hAnsi="Arial" w:cs="Arial"/>
          <w:sz w:val="20"/>
          <w:szCs w:val="20"/>
        </w:rPr>
        <w:fldChar w:fldCharType="end"/>
      </w:r>
      <w:r w:rsidRPr="00D25EB0">
        <w:rPr>
          <w:rFonts w:ascii="Arial" w:hAnsi="Arial" w:cs="Arial"/>
          <w:sz w:val="20"/>
          <w:szCs w:val="20"/>
        </w:rPr>
        <w:t>.</w:t>
      </w:r>
      <w:r>
        <w:rPr>
          <w:rFonts w:ascii="Arial" w:hAnsi="Arial" w:cs="Arial"/>
          <w:sz w:val="20"/>
          <w:szCs w:val="20"/>
        </w:rPr>
        <w:t xml:space="preserve"> Briefly, p</w:t>
      </w:r>
      <w:r w:rsidR="00D176C3">
        <w:rPr>
          <w:rFonts w:ascii="Arial" w:hAnsi="Arial" w:cs="Arial"/>
          <w:sz w:val="20"/>
          <w:szCs w:val="20"/>
        </w:rPr>
        <w:t xml:space="preserve">eptides separation was performed using </w:t>
      </w:r>
      <w:proofErr w:type="spellStart"/>
      <w:r w:rsidR="00D176C3">
        <w:rPr>
          <w:rFonts w:ascii="Arial" w:hAnsi="Arial" w:cs="Arial"/>
          <w:sz w:val="20"/>
          <w:szCs w:val="20"/>
        </w:rPr>
        <w:t>nano</w:t>
      </w:r>
      <w:proofErr w:type="spellEnd"/>
      <w:r w:rsidR="00D176C3">
        <w:rPr>
          <w:rFonts w:ascii="Arial" w:hAnsi="Arial" w:cs="Arial"/>
          <w:sz w:val="20"/>
          <w:szCs w:val="20"/>
        </w:rPr>
        <w:t xml:space="preserve"> liquid chromatography (</w:t>
      </w:r>
      <w:proofErr w:type="spellStart"/>
      <w:r>
        <w:rPr>
          <w:rFonts w:ascii="Arial" w:hAnsi="Arial" w:cs="Arial"/>
          <w:sz w:val="20"/>
          <w:szCs w:val="20"/>
        </w:rPr>
        <w:t>Dionex</w:t>
      </w:r>
      <w:proofErr w:type="spellEnd"/>
      <w:r>
        <w:rPr>
          <w:rFonts w:ascii="Arial" w:hAnsi="Arial" w:cs="Arial"/>
          <w:sz w:val="20"/>
          <w:szCs w:val="20"/>
        </w:rPr>
        <w:t xml:space="preserve"> </w:t>
      </w:r>
      <w:r w:rsidR="00D176C3">
        <w:rPr>
          <w:rFonts w:ascii="Arial" w:hAnsi="Arial" w:cs="Arial"/>
          <w:sz w:val="20"/>
          <w:szCs w:val="20"/>
        </w:rPr>
        <w:t>U3</w:t>
      </w:r>
      <w:r>
        <w:rPr>
          <w:rFonts w:ascii="Arial" w:hAnsi="Arial" w:cs="Arial"/>
          <w:sz w:val="20"/>
          <w:szCs w:val="20"/>
        </w:rPr>
        <w:t>000</w:t>
      </w:r>
      <w:r w:rsidR="00D176C3">
        <w:rPr>
          <w:rFonts w:ascii="Arial" w:hAnsi="Arial" w:cs="Arial"/>
          <w:sz w:val="20"/>
          <w:szCs w:val="20"/>
        </w:rPr>
        <w:t xml:space="preserve">, Amsterdam, The Netherlands). Peptides were separated on a </w:t>
      </w:r>
      <w:proofErr w:type="spellStart"/>
      <w:r w:rsidR="00D176C3">
        <w:rPr>
          <w:rFonts w:ascii="Arial" w:hAnsi="Arial" w:cs="Arial"/>
          <w:sz w:val="20"/>
          <w:szCs w:val="20"/>
        </w:rPr>
        <w:t>Reprosil</w:t>
      </w:r>
      <w:proofErr w:type="spellEnd"/>
      <w:r w:rsidR="00D176C3">
        <w:rPr>
          <w:rFonts w:ascii="Arial" w:hAnsi="Arial" w:cs="Arial"/>
          <w:sz w:val="20"/>
          <w:szCs w:val="20"/>
        </w:rPr>
        <w:t xml:space="preserve"> </w:t>
      </w:r>
      <w:proofErr w:type="spellStart"/>
      <w:r w:rsidR="00D176C3">
        <w:rPr>
          <w:rFonts w:ascii="Arial" w:hAnsi="Arial" w:cs="Arial"/>
          <w:sz w:val="20"/>
          <w:szCs w:val="20"/>
        </w:rPr>
        <w:t>Pur</w:t>
      </w:r>
      <w:proofErr w:type="spellEnd"/>
      <w:r w:rsidR="00D176C3">
        <w:rPr>
          <w:rFonts w:ascii="Arial" w:hAnsi="Arial" w:cs="Arial"/>
          <w:sz w:val="20"/>
          <w:szCs w:val="20"/>
        </w:rPr>
        <w:t xml:space="preserve"> </w:t>
      </w:r>
      <w:r w:rsidR="00D176C3" w:rsidRPr="00D25EB0">
        <w:rPr>
          <w:rFonts w:ascii="Arial" w:hAnsi="Arial" w:cs="Arial"/>
          <w:sz w:val="20"/>
          <w:szCs w:val="20"/>
        </w:rPr>
        <w:t>(</w:t>
      </w:r>
      <w:proofErr w:type="spellStart"/>
      <w:r w:rsidR="00D176C3" w:rsidRPr="00D25EB0">
        <w:rPr>
          <w:rFonts w:ascii="Arial" w:hAnsi="Arial" w:cs="Arial"/>
          <w:sz w:val="20"/>
          <w:szCs w:val="20"/>
        </w:rPr>
        <w:t>Dr</w:t>
      </w:r>
      <w:proofErr w:type="spellEnd"/>
      <w:r w:rsidR="00D176C3" w:rsidRPr="00D25EB0">
        <w:rPr>
          <w:rFonts w:ascii="Arial" w:hAnsi="Arial" w:cs="Arial"/>
          <w:sz w:val="20"/>
          <w:szCs w:val="20"/>
        </w:rPr>
        <w:t xml:space="preserve"> </w:t>
      </w:r>
      <w:proofErr w:type="spellStart"/>
      <w:r w:rsidR="00D176C3" w:rsidRPr="00D25EB0">
        <w:rPr>
          <w:rFonts w:ascii="Arial" w:hAnsi="Arial" w:cs="Arial"/>
          <w:sz w:val="20"/>
          <w:szCs w:val="20"/>
        </w:rPr>
        <w:t>Maisch</w:t>
      </w:r>
      <w:proofErr w:type="spellEnd"/>
      <w:r w:rsidR="00D176C3" w:rsidRPr="00D25EB0">
        <w:rPr>
          <w:rFonts w:ascii="Arial" w:hAnsi="Arial" w:cs="Arial"/>
          <w:sz w:val="20"/>
          <w:szCs w:val="20"/>
        </w:rPr>
        <w:t xml:space="preserve"> GMBH, </w:t>
      </w:r>
      <w:proofErr w:type="spellStart"/>
      <w:r w:rsidR="00D176C3" w:rsidRPr="00D25EB0">
        <w:rPr>
          <w:rFonts w:ascii="Arial" w:hAnsi="Arial" w:cs="Arial"/>
          <w:sz w:val="20"/>
          <w:szCs w:val="20"/>
        </w:rPr>
        <w:t>Ammerbuch-Entringen</w:t>
      </w:r>
      <w:proofErr w:type="spellEnd"/>
      <w:r w:rsidR="00D176C3" w:rsidRPr="00D25EB0">
        <w:rPr>
          <w:rFonts w:ascii="Arial" w:hAnsi="Arial" w:cs="Arial"/>
          <w:sz w:val="20"/>
          <w:szCs w:val="20"/>
        </w:rPr>
        <w:t>, Germany)</w:t>
      </w:r>
      <w:r w:rsidR="00D176C3">
        <w:rPr>
          <w:rFonts w:ascii="Arial" w:hAnsi="Arial" w:cs="Arial"/>
          <w:sz w:val="20"/>
          <w:szCs w:val="20"/>
        </w:rPr>
        <w:t xml:space="preserve"> C18 column (40 cm x 75µm) by applying a 90 minute acetonitrile gradient (2-32% in 0.1% formic acid) resulting in an inject-to-inject time of 120 minutes. Peptides were analyzed </w:t>
      </w:r>
      <w:r>
        <w:rPr>
          <w:rFonts w:ascii="Arial" w:hAnsi="Arial" w:cs="Arial"/>
          <w:sz w:val="20"/>
          <w:szCs w:val="20"/>
        </w:rPr>
        <w:t>on-line o</w:t>
      </w:r>
      <w:r w:rsidR="00D176C3">
        <w:rPr>
          <w:rFonts w:ascii="Arial" w:hAnsi="Arial" w:cs="Arial"/>
          <w:sz w:val="20"/>
          <w:szCs w:val="20"/>
        </w:rPr>
        <w:t xml:space="preserve">n a Q </w:t>
      </w:r>
      <w:proofErr w:type="spellStart"/>
      <w:r w:rsidR="00D176C3">
        <w:rPr>
          <w:rFonts w:ascii="Arial" w:hAnsi="Arial" w:cs="Arial"/>
          <w:sz w:val="20"/>
          <w:szCs w:val="20"/>
        </w:rPr>
        <w:t>Exactive</w:t>
      </w:r>
      <w:proofErr w:type="spellEnd"/>
      <w:r w:rsidR="00D176C3">
        <w:rPr>
          <w:rFonts w:ascii="Arial" w:hAnsi="Arial" w:cs="Arial"/>
          <w:sz w:val="20"/>
          <w:szCs w:val="20"/>
        </w:rPr>
        <w:t xml:space="preserve">-HF </w:t>
      </w:r>
      <w:proofErr w:type="spellStart"/>
      <w:r w:rsidR="00D176C3">
        <w:rPr>
          <w:rFonts w:ascii="Arial" w:hAnsi="Arial" w:cs="Arial"/>
          <w:sz w:val="20"/>
          <w:szCs w:val="20"/>
        </w:rPr>
        <w:t>Orbitrap</w:t>
      </w:r>
      <w:proofErr w:type="spellEnd"/>
      <w:r w:rsidR="00D176C3">
        <w:rPr>
          <w:rFonts w:ascii="Arial" w:hAnsi="Arial" w:cs="Arial"/>
          <w:sz w:val="20"/>
          <w:szCs w:val="20"/>
        </w:rPr>
        <w:t xml:space="preserve"> mass spectrometer (</w:t>
      </w:r>
      <w:proofErr w:type="spellStart"/>
      <w:r w:rsidR="00D176C3">
        <w:rPr>
          <w:rFonts w:ascii="Arial" w:hAnsi="Arial" w:cs="Arial"/>
          <w:sz w:val="20"/>
          <w:szCs w:val="20"/>
        </w:rPr>
        <w:t>Thermo</w:t>
      </w:r>
      <w:proofErr w:type="spellEnd"/>
      <w:r w:rsidR="00D176C3">
        <w:rPr>
          <w:rFonts w:ascii="Arial" w:hAnsi="Arial" w:cs="Arial"/>
          <w:sz w:val="20"/>
          <w:szCs w:val="20"/>
        </w:rPr>
        <w:t xml:space="preserve"> Scientific, Bremen, Germany). After ionization at 2 kV, MS1 masses were measured at R=</w:t>
      </w:r>
      <w:r>
        <w:rPr>
          <w:rFonts w:ascii="Arial" w:hAnsi="Arial" w:cs="Arial"/>
          <w:sz w:val="20"/>
          <w:szCs w:val="20"/>
        </w:rPr>
        <w:t>7</w:t>
      </w:r>
      <w:r w:rsidR="00D176C3">
        <w:rPr>
          <w:rFonts w:ascii="Arial" w:hAnsi="Arial" w:cs="Arial"/>
          <w:sz w:val="20"/>
          <w:szCs w:val="20"/>
        </w:rPr>
        <w:t xml:space="preserve">0.000 </w:t>
      </w:r>
      <w:r>
        <w:rPr>
          <w:rFonts w:ascii="Arial" w:hAnsi="Arial" w:cs="Arial"/>
          <w:sz w:val="20"/>
          <w:szCs w:val="20"/>
        </w:rPr>
        <w:t xml:space="preserve">(AGC 3E6) </w:t>
      </w:r>
      <w:r w:rsidR="00D176C3">
        <w:rPr>
          <w:rFonts w:ascii="Arial" w:hAnsi="Arial" w:cs="Arial"/>
          <w:sz w:val="20"/>
          <w:szCs w:val="20"/>
        </w:rPr>
        <w:t>and MS2 masses at R=15.000</w:t>
      </w:r>
      <w:r>
        <w:rPr>
          <w:rFonts w:ascii="Arial" w:hAnsi="Arial" w:cs="Arial"/>
          <w:sz w:val="20"/>
          <w:szCs w:val="20"/>
        </w:rPr>
        <w:t xml:space="preserve"> (AGC 1E6, </w:t>
      </w:r>
      <w:proofErr w:type="spellStart"/>
      <w:r>
        <w:rPr>
          <w:rFonts w:ascii="Arial" w:hAnsi="Arial" w:cs="Arial"/>
          <w:sz w:val="20"/>
          <w:szCs w:val="20"/>
        </w:rPr>
        <w:t>MaxIT</w:t>
      </w:r>
      <w:proofErr w:type="spellEnd"/>
      <w:r>
        <w:rPr>
          <w:rFonts w:ascii="Arial" w:hAnsi="Arial" w:cs="Arial"/>
          <w:sz w:val="20"/>
          <w:szCs w:val="20"/>
        </w:rPr>
        <w:t xml:space="preserve"> 64 </w:t>
      </w:r>
      <w:proofErr w:type="spellStart"/>
      <w:r>
        <w:rPr>
          <w:rFonts w:ascii="Arial" w:hAnsi="Arial" w:cs="Arial"/>
          <w:sz w:val="20"/>
          <w:szCs w:val="20"/>
        </w:rPr>
        <w:t>ms</w:t>
      </w:r>
      <w:proofErr w:type="spellEnd"/>
      <w:r>
        <w:rPr>
          <w:rFonts w:ascii="Arial" w:hAnsi="Arial" w:cs="Arial"/>
          <w:sz w:val="20"/>
          <w:szCs w:val="20"/>
        </w:rPr>
        <w:t>). Peptides with charges &gt;+1 were fragmented (isolation-width 1.4 Da) at NCE of 25 in a top-15 experiment. Dynamic exclusion time was 30 sec with a repeat-</w:t>
      </w:r>
      <w:proofErr w:type="spellStart"/>
      <w:r>
        <w:rPr>
          <w:rFonts w:ascii="Arial" w:hAnsi="Arial" w:cs="Arial"/>
          <w:sz w:val="20"/>
          <w:szCs w:val="20"/>
        </w:rPr>
        <w:t>cont</w:t>
      </w:r>
      <w:proofErr w:type="spellEnd"/>
      <w:r>
        <w:rPr>
          <w:rFonts w:ascii="Arial" w:hAnsi="Arial" w:cs="Arial"/>
          <w:sz w:val="20"/>
          <w:szCs w:val="20"/>
        </w:rPr>
        <w:t xml:space="preserve"> of 1. </w:t>
      </w:r>
    </w:p>
    <w:p w:rsidR="00D176C3" w:rsidRDefault="00D176C3" w:rsidP="00945FA0">
      <w:pPr>
        <w:spacing w:after="0" w:line="480" w:lineRule="auto"/>
        <w:ind w:firstLine="720"/>
        <w:rPr>
          <w:rFonts w:ascii="Arial" w:hAnsi="Arial" w:cs="Arial"/>
          <w:sz w:val="20"/>
          <w:szCs w:val="20"/>
        </w:rPr>
      </w:pPr>
    </w:p>
    <w:p w:rsidR="00D176C3" w:rsidRDefault="00D176C3" w:rsidP="00945FA0">
      <w:pPr>
        <w:spacing w:after="0" w:line="480" w:lineRule="auto"/>
        <w:ind w:firstLine="720"/>
        <w:rPr>
          <w:rFonts w:ascii="Arial" w:hAnsi="Arial" w:cs="Arial"/>
          <w:sz w:val="20"/>
          <w:szCs w:val="20"/>
        </w:rPr>
      </w:pPr>
    </w:p>
    <w:p w:rsidR="00D176C3" w:rsidRDefault="00D176C3" w:rsidP="00945FA0">
      <w:pPr>
        <w:spacing w:after="0" w:line="480" w:lineRule="auto"/>
        <w:ind w:firstLine="720"/>
        <w:rPr>
          <w:rFonts w:ascii="Arial" w:hAnsi="Arial" w:cs="Arial"/>
          <w:sz w:val="20"/>
          <w:szCs w:val="20"/>
        </w:rPr>
      </w:pPr>
    </w:p>
    <w:p w:rsidR="00D60A13" w:rsidRPr="00AA6F73" w:rsidRDefault="00D60A13" w:rsidP="00945FA0">
      <w:pPr>
        <w:spacing w:after="0" w:line="480" w:lineRule="auto"/>
        <w:ind w:firstLine="720"/>
        <w:rPr>
          <w:rFonts w:ascii="Arial" w:hAnsi="Arial" w:cs="Arial"/>
          <w:sz w:val="20"/>
          <w:szCs w:val="20"/>
        </w:rPr>
      </w:pPr>
    </w:p>
    <w:p w:rsidR="00184D31" w:rsidRPr="00184D31" w:rsidRDefault="00184D31" w:rsidP="00945FA0">
      <w:pPr>
        <w:spacing w:after="0" w:line="480" w:lineRule="auto"/>
        <w:rPr>
          <w:rFonts w:ascii="Arial" w:hAnsi="Arial" w:cs="Arial"/>
          <w:i/>
          <w:sz w:val="20"/>
          <w:szCs w:val="20"/>
        </w:rPr>
      </w:pPr>
      <w:proofErr w:type="spellStart"/>
      <w:r w:rsidRPr="00184D31">
        <w:rPr>
          <w:rFonts w:ascii="Arial" w:hAnsi="Arial" w:cs="Arial"/>
          <w:i/>
          <w:sz w:val="20"/>
          <w:szCs w:val="20"/>
        </w:rPr>
        <w:t>Phosphopeptide</w:t>
      </w:r>
      <w:proofErr w:type="spellEnd"/>
      <w:r w:rsidRPr="00184D31">
        <w:rPr>
          <w:rFonts w:ascii="Arial" w:hAnsi="Arial" w:cs="Arial"/>
          <w:i/>
          <w:sz w:val="20"/>
          <w:szCs w:val="20"/>
        </w:rPr>
        <w:t xml:space="preserve"> and </w:t>
      </w:r>
      <w:r w:rsidR="00D60A13">
        <w:rPr>
          <w:rFonts w:ascii="Arial" w:hAnsi="Arial" w:cs="Arial"/>
          <w:i/>
          <w:sz w:val="20"/>
          <w:szCs w:val="20"/>
        </w:rPr>
        <w:t>p</w:t>
      </w:r>
      <w:r w:rsidRPr="00184D31">
        <w:rPr>
          <w:rFonts w:ascii="Arial" w:hAnsi="Arial" w:cs="Arial"/>
          <w:i/>
          <w:sz w:val="20"/>
          <w:szCs w:val="20"/>
        </w:rPr>
        <w:t>rotein identification</w:t>
      </w:r>
    </w:p>
    <w:p w:rsidR="00D60A13" w:rsidRDefault="00184D31" w:rsidP="00945FA0">
      <w:pPr>
        <w:spacing w:after="0" w:line="480" w:lineRule="auto"/>
        <w:ind w:firstLine="720"/>
        <w:rPr>
          <w:rFonts w:ascii="Arial" w:hAnsi="Arial" w:cs="Arial"/>
          <w:sz w:val="20"/>
          <w:szCs w:val="20"/>
        </w:rPr>
      </w:pPr>
      <w:r w:rsidRPr="00AA6F73">
        <w:rPr>
          <w:rFonts w:ascii="Arial" w:hAnsi="Arial" w:cs="Arial"/>
          <w:sz w:val="20"/>
          <w:szCs w:val="20"/>
        </w:rPr>
        <w:t xml:space="preserve">MS/MS spectra were searched against </w:t>
      </w:r>
      <w:proofErr w:type="spellStart"/>
      <w:r w:rsidRPr="00AA6F73">
        <w:rPr>
          <w:rFonts w:ascii="Arial" w:hAnsi="Arial" w:cs="Arial"/>
          <w:sz w:val="20"/>
          <w:szCs w:val="20"/>
        </w:rPr>
        <w:t>Swissprot</w:t>
      </w:r>
      <w:proofErr w:type="spellEnd"/>
      <w:r w:rsidRPr="00AA6F73">
        <w:rPr>
          <w:rFonts w:ascii="Arial" w:hAnsi="Arial" w:cs="Arial"/>
          <w:sz w:val="20"/>
          <w:szCs w:val="20"/>
        </w:rPr>
        <w:t xml:space="preserve"> human proteome (</w:t>
      </w:r>
      <w:proofErr w:type="spellStart"/>
      <w:r w:rsidRPr="009D00C2">
        <w:rPr>
          <w:rFonts w:ascii="Arial" w:hAnsi="Arial" w:cs="Arial"/>
          <w:sz w:val="20"/>
          <w:szCs w:val="20"/>
        </w:rPr>
        <w:t>cannonical_and_isoforms</w:t>
      </w:r>
      <w:proofErr w:type="spellEnd"/>
      <w:r>
        <w:rPr>
          <w:rFonts w:ascii="Arial" w:hAnsi="Arial" w:cs="Arial"/>
          <w:sz w:val="20"/>
          <w:szCs w:val="20"/>
        </w:rPr>
        <w:t>, downloaded February 2019</w:t>
      </w:r>
      <w:r w:rsidRPr="00AA6F73">
        <w:rPr>
          <w:rFonts w:ascii="Arial" w:hAnsi="Arial" w:cs="Arial"/>
          <w:sz w:val="20"/>
          <w:szCs w:val="20"/>
        </w:rPr>
        <w:t xml:space="preserve">,  </w:t>
      </w:r>
      <w:r w:rsidRPr="009D00C2">
        <w:rPr>
          <w:rFonts w:ascii="Arial" w:hAnsi="Arial" w:cs="Arial"/>
          <w:sz w:val="20"/>
          <w:szCs w:val="20"/>
        </w:rPr>
        <w:t>42417 entries</w:t>
      </w:r>
      <w:r w:rsidRPr="00AA6F73">
        <w:rPr>
          <w:rFonts w:ascii="Arial" w:hAnsi="Arial" w:cs="Arial"/>
          <w:sz w:val="20"/>
          <w:szCs w:val="20"/>
        </w:rPr>
        <w:t xml:space="preserve">) using </w:t>
      </w:r>
      <w:proofErr w:type="spellStart"/>
      <w:r w:rsidRPr="00AA6F73">
        <w:rPr>
          <w:rFonts w:ascii="Arial" w:hAnsi="Arial" w:cs="Arial"/>
          <w:sz w:val="20"/>
          <w:szCs w:val="20"/>
        </w:rPr>
        <w:t>MaxQuant</w:t>
      </w:r>
      <w:proofErr w:type="spellEnd"/>
      <w:r w:rsidRPr="00AA6F73">
        <w:rPr>
          <w:rFonts w:ascii="Arial" w:hAnsi="Arial" w:cs="Arial"/>
          <w:sz w:val="20"/>
          <w:szCs w:val="20"/>
        </w:rPr>
        <w:t xml:space="preserve"> 1.6.</w:t>
      </w:r>
      <w:r>
        <w:rPr>
          <w:rFonts w:ascii="Arial" w:hAnsi="Arial" w:cs="Arial"/>
          <w:sz w:val="20"/>
          <w:szCs w:val="20"/>
        </w:rPr>
        <w:t>4</w:t>
      </w:r>
      <w:r w:rsidRPr="00AA6F73">
        <w:rPr>
          <w:rFonts w:ascii="Arial" w:hAnsi="Arial" w:cs="Arial"/>
          <w:sz w:val="20"/>
          <w:szCs w:val="20"/>
        </w:rPr>
        <w:t>.</w:t>
      </w:r>
      <w:r>
        <w:rPr>
          <w:rFonts w:ascii="Arial" w:hAnsi="Arial" w:cs="Arial"/>
          <w:sz w:val="20"/>
          <w:szCs w:val="20"/>
        </w:rPr>
        <w:t>0</w:t>
      </w:r>
      <w:r w:rsidRPr="00AA6F73">
        <w:rPr>
          <w:rFonts w:ascii="Arial" w:hAnsi="Arial" w:cs="Arial"/>
          <w:sz w:val="20"/>
          <w:szCs w:val="20"/>
        </w:rPr>
        <w:t xml:space="preserve">. Enzyme specificity was set to trypsin and up to two missed cleavages were allowed. Cysteine </w:t>
      </w:r>
      <w:proofErr w:type="spellStart"/>
      <w:r w:rsidRPr="00AA6F73">
        <w:rPr>
          <w:rFonts w:ascii="Arial" w:hAnsi="Arial" w:cs="Arial"/>
          <w:sz w:val="20"/>
          <w:szCs w:val="20"/>
        </w:rPr>
        <w:t>carboxamidomethylation</w:t>
      </w:r>
      <w:proofErr w:type="spellEnd"/>
      <w:r w:rsidRPr="00AA6F73">
        <w:rPr>
          <w:rFonts w:ascii="Arial" w:hAnsi="Arial" w:cs="Arial"/>
          <w:sz w:val="20"/>
          <w:szCs w:val="20"/>
        </w:rPr>
        <w:t xml:space="preserve"> (</w:t>
      </w:r>
      <w:proofErr w:type="spellStart"/>
      <w:r w:rsidRPr="00AA6F73">
        <w:rPr>
          <w:rFonts w:ascii="Arial" w:hAnsi="Arial" w:cs="Arial"/>
          <w:sz w:val="20"/>
          <w:szCs w:val="20"/>
        </w:rPr>
        <w:t>Cys</w:t>
      </w:r>
      <w:proofErr w:type="spellEnd"/>
      <w:r w:rsidRPr="00AA6F73">
        <w:rPr>
          <w:rFonts w:ascii="Arial" w:hAnsi="Arial" w:cs="Arial"/>
          <w:sz w:val="20"/>
          <w:szCs w:val="20"/>
        </w:rPr>
        <w:t xml:space="preserve">, +57.021464 Da) was treated as fixed modification and serine, threonine and tyrosine phosphorylation (+79.966330 Da), methionine oxidation (Met,+15.994915 Da) and N-terminal acetylation (N-terminal, +42.010565 Da) as variable modifications. Peptide precursor ions were searched with a maximum mass deviation of 4.5 ppm and fragment ions with a maximum mass deviation of 20 ppm. Peptide, protein and site identifications were filtered at an FDR of 1% using the decoy database strategy. The minimal peptide length was 7 amino-acids and the minimum Andromeda score for modified peptides was 40 and the corresponding minimum delta score was 6 (default </w:t>
      </w:r>
      <w:proofErr w:type="spellStart"/>
      <w:r w:rsidRPr="00AA6F73">
        <w:rPr>
          <w:rFonts w:ascii="Arial" w:hAnsi="Arial" w:cs="Arial"/>
          <w:sz w:val="20"/>
          <w:szCs w:val="20"/>
        </w:rPr>
        <w:t>MaxQuant</w:t>
      </w:r>
      <w:proofErr w:type="spellEnd"/>
      <w:r w:rsidRPr="00AA6F73">
        <w:rPr>
          <w:rFonts w:ascii="Arial" w:hAnsi="Arial" w:cs="Arial"/>
          <w:sz w:val="20"/>
          <w:szCs w:val="20"/>
        </w:rPr>
        <w:t xml:space="preserve"> settings). Peptide identifications were propagated across samples </w:t>
      </w:r>
      <w:r>
        <w:rPr>
          <w:rFonts w:ascii="Arial" w:hAnsi="Arial" w:cs="Arial"/>
          <w:sz w:val="20"/>
          <w:szCs w:val="20"/>
        </w:rPr>
        <w:t xml:space="preserve">with </w:t>
      </w:r>
      <w:r w:rsidRPr="00AA6F73">
        <w:rPr>
          <w:rFonts w:ascii="Arial" w:hAnsi="Arial" w:cs="Arial"/>
          <w:sz w:val="20"/>
          <w:szCs w:val="20"/>
        </w:rPr>
        <w:t>the matc</w:t>
      </w:r>
      <w:r w:rsidR="00D60A13">
        <w:rPr>
          <w:rFonts w:ascii="Arial" w:hAnsi="Arial" w:cs="Arial"/>
          <w:sz w:val="20"/>
          <w:szCs w:val="20"/>
        </w:rPr>
        <w:t xml:space="preserve">h between runs option checked. </w:t>
      </w:r>
    </w:p>
    <w:p w:rsidR="00184D31" w:rsidRDefault="00184D31" w:rsidP="00945FA0">
      <w:pPr>
        <w:spacing w:after="0" w:line="480" w:lineRule="auto"/>
        <w:ind w:firstLine="720"/>
        <w:rPr>
          <w:rFonts w:ascii="Arial" w:hAnsi="Arial" w:cs="Arial"/>
          <w:sz w:val="20"/>
          <w:szCs w:val="20"/>
        </w:rPr>
      </w:pPr>
      <w:proofErr w:type="spellStart"/>
      <w:r w:rsidRPr="00AA6F73">
        <w:rPr>
          <w:rFonts w:ascii="Arial" w:hAnsi="Arial" w:cs="Arial"/>
          <w:sz w:val="20"/>
          <w:szCs w:val="20"/>
        </w:rPr>
        <w:t>Phosphopeptides</w:t>
      </w:r>
      <w:proofErr w:type="spellEnd"/>
      <w:r w:rsidRPr="00AA6F73">
        <w:rPr>
          <w:rFonts w:ascii="Arial" w:hAnsi="Arial" w:cs="Arial"/>
          <w:sz w:val="20"/>
          <w:szCs w:val="20"/>
        </w:rPr>
        <w:t xml:space="preserve"> were quantified by counting MS/MS spectra (spectral counts) or by their extracted ion intensities (‘Intensity’ in </w:t>
      </w:r>
      <w:proofErr w:type="spellStart"/>
      <w:r w:rsidRPr="00AA6F73">
        <w:rPr>
          <w:rFonts w:ascii="Arial" w:hAnsi="Arial" w:cs="Arial"/>
          <w:sz w:val="20"/>
          <w:szCs w:val="20"/>
        </w:rPr>
        <w:t>MaxQuant</w:t>
      </w:r>
      <w:proofErr w:type="spellEnd"/>
      <w:r w:rsidRPr="00AA6F73">
        <w:rPr>
          <w:rFonts w:ascii="Arial" w:hAnsi="Arial" w:cs="Arial"/>
          <w:sz w:val="20"/>
          <w:szCs w:val="20"/>
        </w:rPr>
        <w:t xml:space="preserve">). For </w:t>
      </w:r>
      <w:proofErr w:type="spellStart"/>
      <w:r w:rsidRPr="00AA6F73">
        <w:rPr>
          <w:rFonts w:ascii="Arial" w:hAnsi="Arial" w:cs="Arial"/>
          <w:sz w:val="20"/>
          <w:szCs w:val="20"/>
        </w:rPr>
        <w:t>pTyr</w:t>
      </w:r>
      <w:proofErr w:type="spellEnd"/>
      <w:r w:rsidRPr="00AA6F73">
        <w:rPr>
          <w:rFonts w:ascii="Arial" w:hAnsi="Arial" w:cs="Arial"/>
          <w:sz w:val="20"/>
          <w:szCs w:val="20"/>
        </w:rPr>
        <w:t xml:space="preserve"> IP data for each sample the </w:t>
      </w:r>
      <w:proofErr w:type="spellStart"/>
      <w:r w:rsidRPr="00AA6F73">
        <w:rPr>
          <w:rFonts w:ascii="Arial" w:hAnsi="Arial" w:cs="Arial"/>
          <w:sz w:val="20"/>
          <w:szCs w:val="20"/>
        </w:rPr>
        <w:t>phosphopeptides</w:t>
      </w:r>
      <w:proofErr w:type="spellEnd"/>
      <w:r w:rsidRPr="00AA6F73">
        <w:rPr>
          <w:rFonts w:ascii="Arial" w:hAnsi="Arial" w:cs="Arial"/>
          <w:sz w:val="20"/>
          <w:szCs w:val="20"/>
        </w:rPr>
        <w:t xml:space="preserve">/and site intensities were normalized on the corresponding lysate summed </w:t>
      </w:r>
      <w:r w:rsidR="005364EB">
        <w:rPr>
          <w:rFonts w:ascii="Arial" w:hAnsi="Arial" w:cs="Arial"/>
          <w:sz w:val="20"/>
          <w:szCs w:val="20"/>
        </w:rPr>
        <w:t xml:space="preserve">spectral counts. </w:t>
      </w:r>
      <w:r>
        <w:rPr>
          <w:rFonts w:ascii="Arial" w:hAnsi="Arial" w:cs="Arial"/>
          <w:sz w:val="20"/>
          <w:szCs w:val="20"/>
        </w:rPr>
        <w:t>Proteomics data ha</w:t>
      </w:r>
      <w:r w:rsidR="00452C63">
        <w:rPr>
          <w:rFonts w:ascii="Arial" w:hAnsi="Arial" w:cs="Arial"/>
          <w:sz w:val="20"/>
          <w:szCs w:val="20"/>
        </w:rPr>
        <w:t>ve</w:t>
      </w:r>
      <w:r>
        <w:rPr>
          <w:rFonts w:ascii="Arial" w:hAnsi="Arial" w:cs="Arial"/>
          <w:sz w:val="20"/>
          <w:szCs w:val="20"/>
        </w:rPr>
        <w:t xml:space="preserve"> been deposited in </w:t>
      </w:r>
      <w:proofErr w:type="spellStart"/>
      <w:r>
        <w:rPr>
          <w:rFonts w:ascii="Arial" w:hAnsi="Arial" w:cs="Arial"/>
          <w:sz w:val="20"/>
          <w:szCs w:val="20"/>
        </w:rPr>
        <w:t>ProteomeX</w:t>
      </w:r>
      <w:r w:rsidR="00E8256E">
        <w:rPr>
          <w:rFonts w:ascii="Arial" w:hAnsi="Arial" w:cs="Arial"/>
          <w:sz w:val="20"/>
          <w:szCs w:val="20"/>
        </w:rPr>
        <w:t>change</w:t>
      </w:r>
      <w:proofErr w:type="spellEnd"/>
      <w:r w:rsidR="00E8256E">
        <w:rPr>
          <w:rFonts w:ascii="Arial" w:hAnsi="Arial" w:cs="Arial"/>
          <w:sz w:val="20"/>
          <w:szCs w:val="20"/>
        </w:rPr>
        <w:t xml:space="preserve"> </w:t>
      </w:r>
      <w:r w:rsidR="003E0B25">
        <w:rPr>
          <w:rFonts w:ascii="Arial" w:hAnsi="Arial" w:cs="Arial"/>
          <w:sz w:val="20"/>
          <w:szCs w:val="20"/>
        </w:rPr>
        <w:t>via the PRIDE repository</w:t>
      </w:r>
      <w:r w:rsidR="00D92DB1">
        <w:rPr>
          <w:rFonts w:ascii="Arial" w:hAnsi="Arial" w:cs="Arial"/>
          <w:sz w:val="20"/>
          <w:szCs w:val="20"/>
        </w:rPr>
        <w:t xml:space="preserve"> </w:t>
      </w:r>
      <w:r w:rsidR="003E0B25">
        <w:rPr>
          <w:rFonts w:ascii="Arial" w:hAnsi="Arial" w:cs="Arial"/>
          <w:sz w:val="20"/>
          <w:szCs w:val="20"/>
        </w:rPr>
        <w:fldChar w:fldCharType="begin" w:fldLock="1"/>
      </w:r>
      <w:r w:rsidR="00452C63">
        <w:rPr>
          <w:rFonts w:ascii="Arial" w:hAnsi="Arial" w:cs="Arial"/>
          <w:sz w:val="20"/>
          <w:szCs w:val="20"/>
        </w:rPr>
        <w:instrText>ADDIN CSL_CITATION { "citationItems" : [ { "id" : "ITEM-1", "itemData" : { "DOI" : "10.1093/nar/gky1106", "ISSN" : "13624962", "abstract" : "The PRoteomics IDEntifications (PRIDE) database (https://www.ebi.ac.uk/pride/) is the world's largest data repository of mass spectrometry-based proteomics data, and is one of the founding members of the global ProteomeXchange (PX) consortium. In this manuscript, we summarize the developments in PRIDE resources and related tools since the previous update manuscript was published in Nucleic Acids Research in 2016. In the last 3 years, public data sharing through PRIDE (as part of PX) has definitely become the norm in the field. In parallel, data re-use of public proteomics data has increased enormously, with multiple applications. We first describe the new architecture of PRIDE Archive, the archival component of PRIDE. PRIDE Archive and the related data submission framework have been further developed to support the increase in submitted data volumes and additional data types. A new scalable and fault tolerant storage backend, Application Programming Interface and web interface have been implemented, as a part of an ongoing process. Additionally, we emphasize the improved support for quantitative proteomics data through the mzTab format. At last, we outline key statistics on the current data contents and volume of downloads, and how PRIDE data are starting to be disseminated to added-value resources including Ensembl, UniProt and Expression Atlas.", "author" : [ { "dropping-particle" : "", "family" : "Perez-Riverol", "given" : "Yasset", "non-dropping-particle" : "", "parse-names" : false, "suffix" : "" }, { "dropping-particle" : "", "family" : "Csordas", "given" : "Attila", "non-dropping-particle" : "", "parse-names" : false, "suffix" : "" }, { "dropping-particle" : "", "family" : "Bai", "given" : "Jingwen", "non-dropping-particle" : "", "parse-names" : false, "suffix" : "" }, { "dropping-particle" : "", "family" : "Bernal-Llinares", "given" : "Manuel", "non-dropping-particle" : "", "parse-names" : false, "suffix" : "" }, { "dropping-particle" : "", "family" : "Hewapathirana", "given" : "Suresh", "non-dropping-particle" : "", "parse-names" : false, "suffix" : "" }, { "dropping-particle" : "", "family" : "Kundu", "given" : "Deepti J.", "non-dropping-particle" : "", "parse-names" : false, "suffix" : "" }, { "dropping-particle" : "", "family" : "Inuganti", "given" : "Avinash", "non-dropping-particle" : "", "parse-names" : false, "suffix" : "" }, { "dropping-particle" : "", "family" : "Griss", "given" : "Johannes", "non-dropping-particle" : "", "parse-names" : false, "suffix" : "" }, { "dropping-particle" : "", "family" : "Mayer", "given" : "Gerhard", "non-dropping-particle" : "", "parse-names" : false, "suffix" : "" }, { "dropping-particle" : "", "family" : "Eisenacher", "given" : "Martin", "non-dropping-particle" : "", "parse-names" : false, "suffix" : "" }, { "dropping-particle" : "", "family" : "P\u00e9rez", "given" : "Enrique", "non-dropping-particle" : "", "parse-names" : false, "suffix" : "" }, { "dropping-particle" : "", "family" : "Uszkoreit", "given" : "Julian", "non-dropping-particle" : "", "parse-names" : false, "suffix" : "" }, { "dropping-particle" : "", "family" : "Pfeuffer", "given" : "Julianus", "non-dropping-particle" : "", "parse-names" : false, "suffix" : "" }, { "dropping-particle" : "", "family" : "Sachsenberg", "given" : "Timo", "non-dropping-particle" : "", "parse-names" : false, "suffix" : "" }, { "dropping-particle" : "", "family" : "Yilmaz", "given" : "\u015eule", "non-dropping-particle" : "", "parse-names" : false, "suffix" : "" }, { "dropping-particle" : "", "family" : "Tiwary", "given" : "Shivani", "non-dropping-particle" : "", "parse-names" : false, "suffix" : "" }, { "dropping-particle" : "", "family" : "Cox", "given" : "J\u00fcrgen", "non-dropping-particle" : "", "parse-names" : false, "suffix" : "" }, { "dropping-particle" : "", "family" : "Audain", "given" : "Enrique", "non-dropping-particle" : "", "parse-names" : false, "suffix" : "" }, { "dropping-particle" : "", "family" : "Walzer", "given" : "Mathias", "non-dropping-particle" : "", "parse-names" : false, "suffix" : "" }, { "dropping-particle" : "", "family" : "Jarnuczak", "given" : "Andrew F.", "non-dropping-particle" : "", "parse-names" : false, "suffix" : "" }, { "dropping-particle" : "", "family" : "Ternent", "given" : "Tobias", "non-dropping-particle" : "", "parse-names" : false, "suffix" : "" }, { "dropping-particle" : "", "family" : "Brazma", "given" : "Alvis", "non-dropping-particle" : "", "parse-names" : false, "suffix" : "" }, { "dropping-particle" : "", "family" : "Vizca\u00edno", "given" : "Juan Antonio", "non-dropping-particle" : "", "parse-names" : false, "suffix" : "" } ], "container-title" : "Nucleic Acids Research", "id" : "ITEM-1", "issue" : "D1", "issued" : { "date-parts" : [ [ "2019", "1", "8" ] ] }, "page" : "D442-D450", "publisher" : "Oxford University Press", "title" : "The PRIDE database and related tools and resources in 2019: Improving support for quantification data", "type" : "article-journal", "volume" : "47" }, "uris" : [ "http://www.mendeley.com/documents/?uuid=b10fbf61-a2cf-39c7-9616-580c4a6583d1" ] } ], "mendeley" : { "formattedCitation" : "[28]", "plainTextFormattedCitation" : "[28]", "previouslyFormattedCitation" : "[28]" }, "properties" : { "noteIndex" : 0 }, "schema" : "https://github.com/citation-style-language/schema/raw/master/csl-citation.json" }</w:instrText>
      </w:r>
      <w:r w:rsidR="003E0B25">
        <w:rPr>
          <w:rFonts w:ascii="Arial" w:hAnsi="Arial" w:cs="Arial"/>
          <w:sz w:val="20"/>
          <w:szCs w:val="20"/>
        </w:rPr>
        <w:fldChar w:fldCharType="separate"/>
      </w:r>
      <w:r w:rsidR="00452C63" w:rsidRPr="00452C63">
        <w:rPr>
          <w:rFonts w:ascii="Arial" w:hAnsi="Arial" w:cs="Arial"/>
          <w:noProof/>
          <w:sz w:val="20"/>
          <w:szCs w:val="20"/>
        </w:rPr>
        <w:t>[28]</w:t>
      </w:r>
      <w:r w:rsidR="003E0B25">
        <w:rPr>
          <w:rFonts w:ascii="Arial" w:hAnsi="Arial" w:cs="Arial"/>
          <w:sz w:val="20"/>
          <w:szCs w:val="20"/>
        </w:rPr>
        <w:fldChar w:fldCharType="end"/>
      </w:r>
      <w:r w:rsidR="003E0B25">
        <w:rPr>
          <w:rFonts w:ascii="Arial" w:hAnsi="Arial" w:cs="Arial"/>
          <w:sz w:val="20"/>
          <w:szCs w:val="20"/>
        </w:rPr>
        <w:t xml:space="preserve"> </w:t>
      </w:r>
      <w:r w:rsidR="00E8256E">
        <w:rPr>
          <w:rFonts w:ascii="Arial" w:hAnsi="Arial" w:cs="Arial"/>
          <w:sz w:val="20"/>
          <w:szCs w:val="20"/>
        </w:rPr>
        <w:t xml:space="preserve">with accession number </w:t>
      </w:r>
      <w:r w:rsidR="00E8256E" w:rsidRPr="003E0B25">
        <w:rPr>
          <w:rFonts w:ascii="Arial" w:hAnsi="Arial" w:cs="Arial"/>
          <w:sz w:val="20"/>
          <w:szCs w:val="20"/>
        </w:rPr>
        <w:t>PXD</w:t>
      </w:r>
      <w:r w:rsidR="003E0B25" w:rsidRPr="003E0B25">
        <w:rPr>
          <w:rFonts w:ascii="Arial" w:hAnsi="Arial" w:cs="Arial"/>
          <w:sz w:val="20"/>
          <w:szCs w:val="20"/>
          <w:shd w:val="clear" w:color="auto" w:fill="FFFFFF"/>
        </w:rPr>
        <w:t>016475</w:t>
      </w:r>
      <w:r w:rsidRPr="003E0B25">
        <w:rPr>
          <w:rFonts w:ascii="Arial" w:hAnsi="Arial" w:cs="Arial"/>
          <w:sz w:val="20"/>
          <w:szCs w:val="20"/>
        </w:rPr>
        <w:t>.</w:t>
      </w:r>
    </w:p>
    <w:p w:rsidR="00184D31" w:rsidRPr="005A5766" w:rsidRDefault="00184D31" w:rsidP="00945FA0">
      <w:pPr>
        <w:spacing w:after="0" w:line="480" w:lineRule="auto"/>
        <w:rPr>
          <w:rFonts w:ascii="Arial" w:hAnsi="Arial" w:cs="Arial"/>
          <w:b/>
          <w:sz w:val="20"/>
          <w:szCs w:val="20"/>
        </w:rPr>
      </w:pPr>
    </w:p>
    <w:p w:rsidR="00C425C1" w:rsidRDefault="0050336D" w:rsidP="00945FA0">
      <w:pPr>
        <w:spacing w:after="0" w:line="480" w:lineRule="auto"/>
        <w:rPr>
          <w:rFonts w:ascii="Arial" w:hAnsi="Arial" w:cs="Arial"/>
          <w:i/>
          <w:sz w:val="20"/>
          <w:szCs w:val="20"/>
        </w:rPr>
      </w:pPr>
      <w:r>
        <w:rPr>
          <w:rFonts w:ascii="Arial" w:hAnsi="Arial" w:cs="Arial"/>
          <w:i/>
          <w:sz w:val="20"/>
          <w:szCs w:val="20"/>
        </w:rPr>
        <w:t>Kinase-drug database analysis</w:t>
      </w:r>
      <w:r w:rsidR="005E1BF8">
        <w:rPr>
          <w:rFonts w:ascii="Arial" w:hAnsi="Arial" w:cs="Arial"/>
          <w:i/>
          <w:sz w:val="20"/>
          <w:szCs w:val="20"/>
        </w:rPr>
        <w:t xml:space="preserve"> </w:t>
      </w:r>
    </w:p>
    <w:p w:rsidR="00C106BF" w:rsidRPr="004669EE" w:rsidRDefault="005E1BF8" w:rsidP="00945FA0">
      <w:pPr>
        <w:spacing w:after="0" w:line="480" w:lineRule="auto"/>
        <w:ind w:firstLine="720"/>
        <w:rPr>
          <w:rFonts w:ascii="Arial" w:hAnsi="Arial" w:cs="Arial"/>
          <w:sz w:val="20"/>
          <w:szCs w:val="20"/>
        </w:rPr>
      </w:pPr>
      <w:r>
        <w:rPr>
          <w:rFonts w:ascii="Arial" w:hAnsi="Arial" w:cs="Arial"/>
          <w:sz w:val="20"/>
          <w:szCs w:val="20"/>
        </w:rPr>
        <w:t>Using Proteomicsdb.org</w:t>
      </w:r>
      <w:r w:rsidR="00D92DB1">
        <w:rPr>
          <w:rFonts w:ascii="Arial" w:hAnsi="Arial" w:cs="Arial"/>
          <w:sz w:val="20"/>
          <w:szCs w:val="20"/>
        </w:rPr>
        <w:t xml:space="preserve"> </w:t>
      </w:r>
      <w:r>
        <w:rPr>
          <w:rFonts w:ascii="Arial" w:hAnsi="Arial" w:cs="Arial"/>
          <w:sz w:val="20"/>
          <w:szCs w:val="20"/>
        </w:rPr>
        <w:fldChar w:fldCharType="begin" w:fldLock="1"/>
      </w:r>
      <w:r w:rsidR="00452C63">
        <w:rPr>
          <w:rFonts w:ascii="Arial" w:hAnsi="Arial" w:cs="Arial"/>
          <w:sz w:val="20"/>
          <w:szCs w:val="20"/>
        </w:rPr>
        <w:instrText>ADDIN CSL_CITATION { "citationItems" : [ { "id" : "ITEM-1", "itemData" : { "DOI" : "10.1126/science.aan4368", "ISSN" : "0036-8075", "PMID" : "29191878", "abstract" : "Kinase inhibitors are important cancer therapeutics. Polypharmacology is commonly observed, requiring thorough target deconvolution to understand drug mechanism of action. Using chemical proteomics, we analyzed the target spectrum of 243 clinically evaluated kinase drugs. The data revealed previously unknown targets for established drugs, offered a perspective on the \"druggable\" kinome, highlighted (non)kinase off-targets, and suggested potential therapeutic applications. Integration of phosphoproteomic data refined drug-affected pathways, identified response markers, and strengthened rationale for combination treatments. We exemplify translational value by discovering SIK2 (salt-inducible kinase 2) inhibitors that modulate cytokine production in primary cells, by identifying drugs against the lung cancer survival marker MELK (maternal embryonic leucine zipper kinase), and by repurposing cabozantinib to treat FLT3-ITD-positive acute myeloid leukemia. This resource, available via the ProteomicsDB database, should facilitate basic, clinical, and drug discovery research and aid clinical decision-making.", "author" : [ { "dropping-particle" : "", "family" : "Klaeger", "given" : "Susan", "non-dropping-particle" : "", "parse-names" : false, "suffix" : "" }, { "dropping-particle" : "", "family" : "Heinzlmeir", "given" : "Stephanie", "non-dropping-particle" : "", "parse-names" : false, "suffix" : "" }, { "dropping-particle" : "", "family" : "Wilhelm", "given" : "Mathias", "non-dropping-particle" : "", "parse-names" : false, "suffix" : "" }, { "dropping-particle" : "", "family" : "Polzer", "given" : "Harald", "non-dropping-particle" : "", "parse-names" : false, "suffix" : "" }, { "dropping-particle" : "", "family" : "Vick", "given" : "Binje", "non-dropping-particle" : "", "parse-names" : false, "suffix" : "" }, { "dropping-particle" : "", "family" : "Koenig", "given" : "Paul-Albert", "non-dropping-particle" : "", "parse-names" : false, "suffix" : "" }, { "dropping-particle" : "", "family" : "Reinecke", "given" : "Maria", "non-dropping-particle" : "", "parse-names" : false, "suffix" : "" }, { "dropping-particle" : "", "family" : "Ruprecht", "given" : "Benjamin", "non-dropping-particle" : "", "parse-names" : false, "suffix" : "" }, { "dropping-particle" : "", "family" : "Petzoldt", "given" : "Svenja", "non-dropping-particle" : "", "parse-names" : false, "suffix" : "" }, { "dropping-particle" : "", "family" : "Meng", "given" : "Chen", "non-dropping-particle" : "", "parse-names" : false, "suffix" : "" }, { "dropping-particle" : "", "family" : "Zecha", "given" : "Jana", "non-dropping-particle" : "", "parse-names" : false, "suffix" : "" }, { "dropping-particle" : "", "family" : "Reiter", "given" : "Katrin", "non-dropping-particle" : "", "parse-names" : false, "suffix" : "" }, { "dropping-particle" : "", "family" : "Qiao", "given" : "Huichao", "non-dropping-particle" : "", "parse-names" : false, "suffix" : "" }, { "dropping-particle" : "", "family" : "Helm", "given" : "Dominic", "non-dropping-particle" : "", "parse-names" : false, "suffix" : "" }, { "dropping-particle" : "", "family" : "Koch", "given" : "Heiner", "non-dropping-particle" : "", "parse-names" : false, "suffix" : "" }, { "dropping-particle" : "", "family" : "Schoof", "given" : "Melanie", "non-dropping-particle" : "", "parse-names" : false, "suffix" : "" }, { "dropping-particle" : "", "family" : "Canevari", "given" : "Giulia", "non-dropping-particle" : "", "parse-names" : false, "suffix" : "" }, { "dropping-particle" : "", "family" : "Casale", "given" : "Elena", "non-dropping-particle" : "", "parse-names" : false, "suffix" : "" }, { "dropping-particle" : "", "family" : "Depaolini", "given" : "Stefania Re", "non-dropping-particle" : "", "parse-names" : false, "suffix" : "" }, { "dropping-particle" : "", "family" : "Feuchtinger", "given" : "Annette", "non-dropping-particle" : "", "parse-names" : false, "suffix" : "" }, { "dropping-particle" : "", "family" : "Wu", "given" : "Zhixiang", "non-dropping-particle" : "", "parse-names" : false, "suffix" : "" }, { "dropping-particle" : "", "family" : "Schmidt", "given" : "Tobias", "non-dropping-particle" : "", "parse-names" : false, "suffix" : "" }, { "dropping-particle" : "", "family" : "Rueckert", "given" : "Lars", "non-dropping-particle" : "", "parse-names" : false, "suffix" : "" }, { "dropping-particle" : "", "family" : "Becker", "given" : "Wilhelm", "non-dropping-particle" : "", "parse-names" : false, "suffix" : "" }, { "dropping-particle" : "", "family" : "Huenges", "given" : "Jan", "non-dropping-particle" : "", "parse-names" : false, "suffix" : "" }, { "dropping-particle" : "", "family" : "Garz", "given" : "Anne-Kathrin", "non-dropping-particle" : "", "parse-names" : false, "suffix" : "" }, { "dropping-particle" : "", "family" : "Gohlke", "given" : "Bjoern-Oliver", "non-dropping-particle" : "", "parse-names" : false, "suffix" : "" }, { "dropping-particle" : "", "family" : "Zolg", "given" : "Daniel Paul", "non-dropping-particle" : "", "parse-names" : false, "suffix" : "" }, { "dropping-particle" : "", "family" : "Kayser", "given" : "Gian", "non-dropping-particle" : "", "parse-names" : false, "suffix" : "" }, { "dropping-particle" : "", "family" : "Vooder", "given" : "Tonu", "non-dropping-particle" : "", "parse-names" : false, "suffix" : "" }, { "dropping-particle" : "", "family" : "Preissner", "given" : "Robert", "non-dropping-particle" : "", "parse-names" : false, "suffix" : "" }, { "dropping-particle" : "", "family" : "Hahne", "given" : "Hannes", "non-dropping-particle" : "", "parse-names" : false, "suffix" : "" }, { "dropping-particle" : "", "family" : "T\u00f5nisson", "given" : "Neeme", "non-dropping-particle" : "", "parse-names" : false, "suffix" : "" }, { "dropping-particle" : "", "family" : "Kramer", "given" : "Karl", "non-dropping-particle" : "", "parse-names" : false, "suffix" : "" }, { "dropping-particle" : "", "family" : "G\u00f6tze", "given" : "Katharina", "non-dropping-particle" : "", "parse-names" : false, "suffix" : "" }, { "dropping-particle" : "", "family" : "Bassermann", "given" : "Florian", "non-dropping-particle" : "", "parse-names" : false, "suffix" : "" }, { "dropping-particle" : "", "family" : "Schlegl", "given" : "Judith", "non-dropping-particle" : "", "parse-names" : false, "suffix" : "" }, { "dropping-particle" : "", "family" : "Ehrlich", "given" : "Hans-Christian", "non-dropping-particle" : "", "parse-names" : false, "suffix" : "" }, { "dropping-particle" : "", "family" : "Aiche", "given" : "Stephan", "non-dropping-particle" : "", "parse-names" : false, "suffix" : "" }, { "dropping-particle" : "", "family" : "Walch", "given" : "Axel", "non-dropping-particle" : "", "parse-names" : false, "suffix" : "" }, { "dropping-particle" : "", "family" : "Greif", "given" : "Philipp A.", "non-dropping-particle" : "", "parse-names" : false, "suffix" : "" }, { "dropping-particle" : "", "family" : "Schneider", "given" : "Sabine", "non-dropping-particle" : "", "parse-names" : false, "suffix" : "" }, { "dropping-particle" : "", "family" : "Felder", "given" : "Eduard Rudolf", "non-dropping-particle" : "", "parse-names" : false, "suffix" : "" }, { "dropping-particle" : "", "family" : "Ruland", "given" : "Juergen", "non-dropping-particle" : "", "parse-names" : false, "suffix" : "" }, { "dropping-particle" : "", "family" : "M\u00e9dard", "given" : "Guillaume", "non-dropping-particle" : "", "parse-names" : false, "suffix" : "" }, { "dropping-particle" : "", "family" : "Jeremias", "given" : "Irmela", "non-dropping-particle" : "", "parse-names" : false, "suffix" : "" }, { "dropping-particle" : "", "family" : "Spiekermann", "given" : "Karsten", "non-dropping-particle" : "", "parse-names" : false, "suffix" : "" }, { "dropping-particle" : "", "family" : "Kuster", "given" : "Bernhard", "non-dropping-particle" : "", "parse-names" : false, "suffix" : "" } ], "container-title" : "Science", "id" : "ITEM-1", "issue" : "6367", "issued" : { "date-parts" : [ [ "2017", "12", "1" ] ] }, "page" : "eaan4368", "title" : "The target landscape of clinical kinase drugs", "type" : "article-journal", "volume" : "358" }, "uris" : [ "http://www.mendeley.com/documents/?uuid=f70ac645-02b1-3b63-83c2-f0727fdb7151" ] } ], "mendeley" : { "formattedCitation" : "[29]", "plainTextFormattedCitation" : "[29]", "previouslyFormattedCitation" : "[29]" }, "properties" : { "noteIndex" : 0 }, "schema" : "https://github.com/citation-style-language/schema/raw/master/csl-citation.json" }</w:instrText>
      </w:r>
      <w:r>
        <w:rPr>
          <w:rFonts w:ascii="Arial" w:hAnsi="Arial" w:cs="Arial"/>
          <w:sz w:val="20"/>
          <w:szCs w:val="20"/>
        </w:rPr>
        <w:fldChar w:fldCharType="separate"/>
      </w:r>
      <w:r w:rsidR="00452C63" w:rsidRPr="00452C63">
        <w:rPr>
          <w:rFonts w:ascii="Arial" w:hAnsi="Arial" w:cs="Arial"/>
          <w:noProof/>
          <w:sz w:val="20"/>
          <w:szCs w:val="20"/>
        </w:rPr>
        <w:t>[29]</w:t>
      </w:r>
      <w:r>
        <w:rPr>
          <w:rFonts w:ascii="Arial" w:hAnsi="Arial" w:cs="Arial"/>
          <w:sz w:val="20"/>
          <w:szCs w:val="20"/>
        </w:rPr>
        <w:fldChar w:fldCharType="end"/>
      </w:r>
      <w:r>
        <w:rPr>
          <w:rFonts w:ascii="Arial" w:hAnsi="Arial" w:cs="Arial"/>
          <w:sz w:val="20"/>
          <w:szCs w:val="20"/>
        </w:rPr>
        <w:t xml:space="preserve">, all available drugs targeting </w:t>
      </w:r>
      <w:r w:rsidR="00A94847">
        <w:rPr>
          <w:rFonts w:ascii="Arial" w:hAnsi="Arial" w:cs="Arial"/>
          <w:sz w:val="20"/>
          <w:szCs w:val="20"/>
        </w:rPr>
        <w:t xml:space="preserve">the </w:t>
      </w:r>
      <w:r>
        <w:rPr>
          <w:rFonts w:ascii="Arial" w:hAnsi="Arial" w:cs="Arial"/>
          <w:sz w:val="20"/>
          <w:szCs w:val="20"/>
        </w:rPr>
        <w:t>top 20 INKA kinases in 786-O were retrieved, along with their reported EC</w:t>
      </w:r>
      <w:r w:rsidRPr="00A94847">
        <w:rPr>
          <w:rFonts w:ascii="Arial" w:hAnsi="Arial" w:cs="Arial"/>
          <w:sz w:val="20"/>
          <w:szCs w:val="20"/>
          <w:vertAlign w:val="subscript"/>
        </w:rPr>
        <w:t>50</w:t>
      </w:r>
      <w:r>
        <w:rPr>
          <w:rFonts w:ascii="Arial" w:hAnsi="Arial" w:cs="Arial"/>
          <w:sz w:val="20"/>
          <w:szCs w:val="20"/>
        </w:rPr>
        <w:t xml:space="preserve">. Unsupervised clustering and heatmap analysis were performed to display </w:t>
      </w:r>
      <w:r w:rsidR="00A94847">
        <w:rPr>
          <w:rFonts w:ascii="Arial" w:hAnsi="Arial" w:cs="Arial"/>
          <w:sz w:val="20"/>
          <w:szCs w:val="20"/>
        </w:rPr>
        <w:t>all drugs targeting this set of kinases with a EC</w:t>
      </w:r>
      <w:r w:rsidR="00A94847" w:rsidRPr="00A94847">
        <w:rPr>
          <w:rFonts w:ascii="Arial" w:hAnsi="Arial" w:cs="Arial"/>
          <w:sz w:val="20"/>
          <w:szCs w:val="20"/>
          <w:vertAlign w:val="subscript"/>
        </w:rPr>
        <w:t>50</w:t>
      </w:r>
      <w:r w:rsidR="00A94847">
        <w:rPr>
          <w:rFonts w:ascii="Arial" w:hAnsi="Arial" w:cs="Arial"/>
          <w:sz w:val="20"/>
          <w:szCs w:val="20"/>
        </w:rPr>
        <w:t xml:space="preserve"> below 2µM. Data are presented in </w:t>
      </w:r>
      <w:r w:rsidR="00A94847">
        <w:rPr>
          <w:rFonts w:ascii="Arial" w:hAnsi="Arial" w:cs="Arial"/>
          <w:b/>
          <w:sz w:val="20"/>
          <w:szCs w:val="20"/>
        </w:rPr>
        <w:t>Supplementary Figure 8</w:t>
      </w:r>
      <w:r w:rsidR="00A94847">
        <w:rPr>
          <w:rFonts w:ascii="Arial" w:hAnsi="Arial" w:cs="Arial"/>
          <w:sz w:val="20"/>
          <w:szCs w:val="20"/>
        </w:rPr>
        <w:t xml:space="preserve"> and show that a subset of drugs show inhibitory activity to multiple kinases while others are rather specific for a single kinase</w:t>
      </w:r>
    </w:p>
    <w:p w:rsidR="0045055B" w:rsidRDefault="0045055B">
      <w:pPr>
        <w:spacing w:after="0" w:line="240" w:lineRule="auto"/>
        <w:rPr>
          <w:rFonts w:ascii="Arial" w:hAnsi="Arial" w:cs="Arial"/>
          <w:b/>
          <w:sz w:val="20"/>
          <w:szCs w:val="20"/>
        </w:rPr>
      </w:pPr>
      <w:r>
        <w:rPr>
          <w:rFonts w:ascii="Arial" w:hAnsi="Arial" w:cs="Arial"/>
          <w:b/>
          <w:sz w:val="20"/>
          <w:szCs w:val="20"/>
        </w:rPr>
        <w:br w:type="page"/>
      </w:r>
    </w:p>
    <w:p w:rsidR="00EE40F5" w:rsidRPr="005A5766" w:rsidRDefault="00EE40F5" w:rsidP="00945FA0">
      <w:pPr>
        <w:spacing w:after="0" w:line="480" w:lineRule="auto"/>
        <w:rPr>
          <w:rFonts w:ascii="Arial" w:hAnsi="Arial" w:cs="Arial"/>
          <w:b/>
          <w:sz w:val="20"/>
          <w:szCs w:val="20"/>
        </w:rPr>
      </w:pPr>
      <w:r w:rsidRPr="005A5766">
        <w:rPr>
          <w:rFonts w:ascii="Arial" w:hAnsi="Arial" w:cs="Arial"/>
          <w:b/>
          <w:sz w:val="20"/>
          <w:szCs w:val="20"/>
        </w:rPr>
        <w:lastRenderedPageBreak/>
        <w:t>Supplementary Figure</w:t>
      </w:r>
      <w:r w:rsidR="002F1564">
        <w:rPr>
          <w:rFonts w:ascii="Arial" w:hAnsi="Arial" w:cs="Arial"/>
          <w:b/>
          <w:sz w:val="20"/>
          <w:szCs w:val="20"/>
        </w:rPr>
        <w:t xml:space="preserve"> legends</w:t>
      </w:r>
    </w:p>
    <w:p w:rsidR="00353C9C" w:rsidRDefault="00353C9C" w:rsidP="00945FA0">
      <w:pPr>
        <w:spacing w:after="0" w:line="480" w:lineRule="auto"/>
        <w:rPr>
          <w:rFonts w:ascii="Arial" w:hAnsi="Arial" w:cs="Arial"/>
          <w:color w:val="000000"/>
          <w:sz w:val="20"/>
          <w:szCs w:val="20"/>
        </w:rPr>
      </w:pPr>
    </w:p>
    <w:p w:rsidR="005A5766" w:rsidRPr="00D44025" w:rsidRDefault="005A5766" w:rsidP="00945FA0">
      <w:pPr>
        <w:spacing w:after="0" w:line="480" w:lineRule="auto"/>
        <w:rPr>
          <w:rFonts w:ascii="Arial" w:hAnsi="Arial" w:cs="Arial"/>
          <w:b/>
          <w:sz w:val="20"/>
          <w:szCs w:val="20"/>
          <w:u w:val="single"/>
        </w:rPr>
      </w:pPr>
      <w:r w:rsidRPr="00D44025">
        <w:rPr>
          <w:rFonts w:ascii="Arial" w:hAnsi="Arial" w:cs="Arial"/>
          <w:b/>
          <w:sz w:val="20"/>
          <w:szCs w:val="20"/>
          <w:u w:val="single"/>
        </w:rPr>
        <w:t>Supplement 1: s</w:t>
      </w:r>
      <w:r w:rsidR="005A0B00" w:rsidRPr="00D44025">
        <w:rPr>
          <w:rFonts w:ascii="Arial" w:hAnsi="Arial" w:cs="Arial"/>
          <w:b/>
          <w:sz w:val="20"/>
          <w:szCs w:val="20"/>
          <w:u w:val="single"/>
        </w:rPr>
        <w:t>-</w:t>
      </w:r>
      <w:r w:rsidRPr="00D44025">
        <w:rPr>
          <w:rFonts w:ascii="Arial" w:hAnsi="Arial" w:cs="Arial"/>
          <w:b/>
          <w:sz w:val="20"/>
          <w:szCs w:val="20"/>
          <w:u w:val="single"/>
        </w:rPr>
        <w:t>FSC of RCC lines</w:t>
      </w:r>
    </w:p>
    <w:p w:rsidR="00084FAF" w:rsidRPr="00084FAF" w:rsidRDefault="007B1617" w:rsidP="00945FA0">
      <w:pPr>
        <w:spacing w:after="0" w:line="480" w:lineRule="auto"/>
        <w:rPr>
          <w:rFonts w:ascii="Arial" w:hAnsi="Arial" w:cs="Arial"/>
          <w:b/>
          <w:sz w:val="20"/>
          <w:szCs w:val="20"/>
        </w:rPr>
      </w:pPr>
      <w:r w:rsidRPr="00F10ED0">
        <w:rPr>
          <w:rFonts w:ascii="Arial" w:hAnsi="Arial" w:cs="Arial"/>
          <w:b/>
          <w:sz w:val="20"/>
          <w:szCs w:val="20"/>
        </w:rPr>
        <w:t>Figure S1</w:t>
      </w:r>
      <w:r w:rsidR="00B7778D">
        <w:rPr>
          <w:rFonts w:ascii="Arial" w:hAnsi="Arial" w:cs="Arial"/>
          <w:b/>
          <w:sz w:val="20"/>
          <w:szCs w:val="20"/>
        </w:rPr>
        <w:t>.1.1</w:t>
      </w:r>
      <w:r w:rsidRPr="00F10ED0">
        <w:rPr>
          <w:rFonts w:ascii="Arial" w:hAnsi="Arial" w:cs="Arial"/>
          <w:sz w:val="20"/>
          <w:szCs w:val="20"/>
        </w:rPr>
        <w:t xml:space="preserve">: </w:t>
      </w:r>
      <w:r w:rsidR="00084FAF" w:rsidRPr="00084FAF">
        <w:rPr>
          <w:rFonts w:ascii="Arial" w:hAnsi="Arial" w:cs="Arial"/>
          <w:b/>
          <w:sz w:val="20"/>
          <w:szCs w:val="20"/>
        </w:rPr>
        <w:t>Drug selection</w:t>
      </w:r>
    </w:p>
    <w:p w:rsidR="007B1617" w:rsidRPr="002F1564" w:rsidRDefault="007B1617" w:rsidP="00945FA0">
      <w:pPr>
        <w:spacing w:after="0" w:line="480" w:lineRule="auto"/>
        <w:rPr>
          <w:rFonts w:ascii="Arial" w:eastAsia="Times New Roman" w:hAnsi="Arial" w:cs="Arial"/>
          <w:sz w:val="20"/>
          <w:szCs w:val="20"/>
          <w:lang w:val="en-GB"/>
        </w:rPr>
      </w:pPr>
      <w:r w:rsidRPr="00F10ED0">
        <w:rPr>
          <w:rFonts w:ascii="Arial" w:hAnsi="Arial" w:cs="Arial"/>
          <w:sz w:val="20"/>
          <w:szCs w:val="20"/>
        </w:rPr>
        <w:t xml:space="preserve">Schematic drawing of </w:t>
      </w:r>
      <w:r w:rsidRPr="00F10ED0">
        <w:rPr>
          <w:rFonts w:ascii="Arial" w:hAnsi="Arial" w:cs="Arial"/>
          <w:sz w:val="20"/>
          <w:szCs w:val="20"/>
          <w:lang w:eastAsia="zh-CN"/>
        </w:rPr>
        <w:t xml:space="preserve">ten initial drugs covering a broad targeting spectrum in a cell: </w:t>
      </w:r>
      <w:proofErr w:type="spellStart"/>
      <w:r w:rsidRPr="00F10ED0">
        <w:rPr>
          <w:rFonts w:ascii="Arial" w:hAnsi="Arial" w:cs="Arial"/>
          <w:b/>
          <w:sz w:val="20"/>
          <w:szCs w:val="20"/>
          <w:lang w:eastAsia="zh-CN"/>
        </w:rPr>
        <w:t>axitinib</w:t>
      </w:r>
      <w:proofErr w:type="spellEnd"/>
      <w:r w:rsidRPr="00F10ED0">
        <w:rPr>
          <w:rFonts w:ascii="Arial" w:hAnsi="Arial" w:cs="Arial"/>
          <w:sz w:val="20"/>
          <w:szCs w:val="20"/>
          <w:lang w:eastAsia="zh-CN"/>
        </w:rPr>
        <w:t xml:space="preserve"> (</w:t>
      </w:r>
      <w:r w:rsidRPr="00F10ED0">
        <w:rPr>
          <w:rFonts w:ascii="Arial" w:hAnsi="Arial" w:cs="Arial"/>
          <w:sz w:val="20"/>
          <w:szCs w:val="20"/>
        </w:rPr>
        <w:t xml:space="preserve">VEGFR’s, PDGFR and c-KIT); </w:t>
      </w:r>
      <w:proofErr w:type="spellStart"/>
      <w:r w:rsidRPr="00F10ED0">
        <w:rPr>
          <w:rFonts w:ascii="Arial" w:hAnsi="Arial" w:cs="Arial"/>
          <w:b/>
          <w:sz w:val="20"/>
          <w:szCs w:val="20"/>
          <w:lang w:eastAsia="zh-CN"/>
        </w:rPr>
        <w:t>erlotinib</w:t>
      </w:r>
      <w:proofErr w:type="spellEnd"/>
      <w:r w:rsidRPr="00F10ED0">
        <w:rPr>
          <w:rFonts w:ascii="Arial" w:hAnsi="Arial" w:cs="Arial"/>
          <w:sz w:val="20"/>
          <w:szCs w:val="20"/>
          <w:lang w:eastAsia="zh-CN"/>
        </w:rPr>
        <w:t xml:space="preserve"> (</w:t>
      </w:r>
      <w:r w:rsidRPr="00F10ED0">
        <w:rPr>
          <w:rFonts w:ascii="Arial" w:hAnsi="Arial" w:cs="Arial"/>
          <w:sz w:val="20"/>
          <w:szCs w:val="20"/>
        </w:rPr>
        <w:t>EGFR inhibitor</w:t>
      </w:r>
      <w:r w:rsidRPr="00F512B7">
        <w:rPr>
          <w:rFonts w:ascii="Arial" w:hAnsi="Arial" w:cs="Arial"/>
          <w:sz w:val="20"/>
          <w:szCs w:val="20"/>
        </w:rPr>
        <w:t xml:space="preserve">); </w:t>
      </w:r>
      <w:r w:rsidRPr="005C7376">
        <w:rPr>
          <w:rFonts w:ascii="Arial" w:hAnsi="Arial" w:cs="Arial"/>
          <w:b/>
          <w:sz w:val="20"/>
          <w:szCs w:val="20"/>
          <w:lang w:eastAsia="zh-CN"/>
        </w:rPr>
        <w:t>RAPTA-C</w:t>
      </w:r>
      <w:r w:rsidRPr="00F85981">
        <w:rPr>
          <w:rFonts w:ascii="Arial" w:hAnsi="Arial" w:cs="Arial"/>
          <w:sz w:val="20"/>
          <w:szCs w:val="20"/>
          <w:lang w:eastAsia="zh-CN"/>
        </w:rPr>
        <w:t xml:space="preserve"> (chromatin </w:t>
      </w:r>
      <w:proofErr w:type="spellStart"/>
      <w:r w:rsidRPr="00F85981">
        <w:rPr>
          <w:rFonts w:ascii="Arial" w:hAnsi="Arial" w:cs="Arial"/>
          <w:sz w:val="20"/>
          <w:szCs w:val="20"/>
          <w:lang w:eastAsia="zh-CN"/>
        </w:rPr>
        <w:t>inactivator</w:t>
      </w:r>
      <w:proofErr w:type="spellEnd"/>
      <w:r w:rsidRPr="00F10ED0">
        <w:rPr>
          <w:rFonts w:ascii="Arial" w:hAnsi="Arial" w:cs="Arial"/>
          <w:sz w:val="20"/>
          <w:szCs w:val="20"/>
        </w:rPr>
        <w:t xml:space="preserve">); </w:t>
      </w:r>
      <w:r w:rsidRPr="00F512B7">
        <w:rPr>
          <w:rFonts w:ascii="Arial" w:hAnsi="Arial" w:cs="Arial"/>
          <w:b/>
          <w:sz w:val="20"/>
          <w:szCs w:val="20"/>
          <w:lang w:eastAsia="zh-CN"/>
        </w:rPr>
        <w:t xml:space="preserve">BEZ-235 </w:t>
      </w:r>
      <w:r w:rsidRPr="00F512B7">
        <w:rPr>
          <w:rFonts w:ascii="Arial" w:hAnsi="Arial" w:cs="Arial"/>
          <w:sz w:val="20"/>
          <w:szCs w:val="20"/>
          <w:lang w:eastAsia="zh-CN"/>
        </w:rPr>
        <w:t>(</w:t>
      </w:r>
      <w:r w:rsidRPr="00F512B7">
        <w:rPr>
          <w:rFonts w:ascii="Arial" w:hAnsi="Arial" w:cs="Arial"/>
          <w:color w:val="000000"/>
          <w:sz w:val="20"/>
          <w:szCs w:val="20"/>
        </w:rPr>
        <w:t xml:space="preserve">inhibitor of both of the main protein complexes of </w:t>
      </w:r>
      <w:proofErr w:type="spellStart"/>
      <w:r w:rsidRPr="00F512B7">
        <w:rPr>
          <w:rFonts w:ascii="Arial" w:hAnsi="Arial" w:cs="Arial"/>
          <w:color w:val="000000"/>
          <w:sz w:val="20"/>
          <w:szCs w:val="20"/>
        </w:rPr>
        <w:t>mTOR</w:t>
      </w:r>
      <w:proofErr w:type="spellEnd"/>
      <w:r w:rsidRPr="00F512B7">
        <w:rPr>
          <w:rFonts w:ascii="Arial" w:hAnsi="Arial" w:cs="Arial"/>
          <w:color w:val="000000"/>
          <w:sz w:val="20"/>
          <w:szCs w:val="20"/>
        </w:rPr>
        <w:t xml:space="preserve"> (mechanistic target </w:t>
      </w:r>
      <w:r w:rsidRPr="005C7376">
        <w:rPr>
          <w:rFonts w:ascii="Arial" w:hAnsi="Arial" w:cs="Arial"/>
          <w:color w:val="000000"/>
          <w:sz w:val="20"/>
          <w:szCs w:val="20"/>
        </w:rPr>
        <w:t>of rapamycin), mTORC1 and mTORC2</w:t>
      </w:r>
      <w:r w:rsidRPr="00F10ED0">
        <w:rPr>
          <w:rFonts w:ascii="Arial" w:hAnsi="Arial" w:cs="Arial"/>
          <w:color w:val="000000"/>
          <w:sz w:val="20"/>
          <w:szCs w:val="20"/>
        </w:rPr>
        <w:t>)</w:t>
      </w:r>
      <w:r w:rsidRPr="00F512B7">
        <w:rPr>
          <w:rFonts w:ascii="Arial" w:hAnsi="Arial" w:cs="Arial"/>
          <w:sz w:val="20"/>
          <w:szCs w:val="20"/>
          <w:lang w:eastAsia="zh-CN"/>
        </w:rPr>
        <w:t xml:space="preserve">; </w:t>
      </w:r>
      <w:proofErr w:type="spellStart"/>
      <w:r w:rsidRPr="00F85981">
        <w:rPr>
          <w:rFonts w:ascii="Arial" w:hAnsi="Arial" w:cs="Arial"/>
          <w:b/>
          <w:sz w:val="20"/>
          <w:szCs w:val="20"/>
          <w:lang w:eastAsia="zh-CN"/>
        </w:rPr>
        <w:t>volasertib</w:t>
      </w:r>
      <w:proofErr w:type="spellEnd"/>
      <w:r w:rsidRPr="00F85981">
        <w:rPr>
          <w:rFonts w:ascii="Arial" w:hAnsi="Arial" w:cs="Arial"/>
          <w:sz w:val="20"/>
          <w:szCs w:val="20"/>
          <w:lang w:eastAsia="zh-CN"/>
        </w:rPr>
        <w:t xml:space="preserve"> (</w:t>
      </w:r>
      <w:r w:rsidRPr="00F85981">
        <w:rPr>
          <w:rFonts w:ascii="Arial" w:hAnsi="Arial" w:cs="Arial"/>
          <w:color w:val="000000"/>
          <w:sz w:val="20"/>
          <w:szCs w:val="20"/>
        </w:rPr>
        <w:t>inhibitor of PLK- polo-like kinase, which is found in the nuclei of dividing cells, and controls multiple stages of cell cycle and division</w:t>
      </w:r>
      <w:r w:rsidRPr="00F10ED0">
        <w:rPr>
          <w:rFonts w:ascii="Arial" w:hAnsi="Arial" w:cs="Arial"/>
          <w:color w:val="000000"/>
          <w:sz w:val="20"/>
          <w:szCs w:val="20"/>
        </w:rPr>
        <w:t xml:space="preserve">); </w:t>
      </w:r>
      <w:proofErr w:type="spellStart"/>
      <w:r w:rsidRPr="00F512B7">
        <w:rPr>
          <w:rFonts w:ascii="Arial" w:hAnsi="Arial" w:cs="Arial"/>
          <w:b/>
          <w:sz w:val="20"/>
          <w:szCs w:val="20"/>
          <w:lang w:eastAsia="zh-CN"/>
        </w:rPr>
        <w:t>dasatinib</w:t>
      </w:r>
      <w:proofErr w:type="spellEnd"/>
      <w:r w:rsidRPr="00F512B7">
        <w:rPr>
          <w:rFonts w:ascii="Arial" w:hAnsi="Arial" w:cs="Arial"/>
          <w:b/>
          <w:sz w:val="20"/>
          <w:szCs w:val="20"/>
          <w:lang w:eastAsia="zh-CN"/>
        </w:rPr>
        <w:t xml:space="preserve"> </w:t>
      </w:r>
      <w:r w:rsidRPr="00F512B7">
        <w:rPr>
          <w:rFonts w:ascii="Arial" w:hAnsi="Arial" w:cs="Arial"/>
          <w:sz w:val="20"/>
          <w:szCs w:val="20"/>
          <w:lang w:eastAsia="zh-CN"/>
        </w:rPr>
        <w:t>(</w:t>
      </w:r>
      <w:r w:rsidRPr="00F512B7">
        <w:rPr>
          <w:rFonts w:ascii="Arial" w:hAnsi="Arial" w:cs="Arial"/>
          <w:color w:val="000000"/>
          <w:sz w:val="20"/>
          <w:szCs w:val="20"/>
        </w:rPr>
        <w:t xml:space="preserve">inhibitor of BCR/ABL and </w:t>
      </w:r>
      <w:proofErr w:type="spellStart"/>
      <w:r w:rsidRPr="00F512B7">
        <w:rPr>
          <w:rFonts w:ascii="Arial" w:hAnsi="Arial" w:cs="Arial"/>
          <w:color w:val="000000"/>
          <w:sz w:val="20"/>
          <w:szCs w:val="20"/>
        </w:rPr>
        <w:t>Src</w:t>
      </w:r>
      <w:proofErr w:type="spellEnd"/>
      <w:r w:rsidRPr="00F512B7">
        <w:rPr>
          <w:rFonts w:ascii="Arial" w:hAnsi="Arial" w:cs="Arial"/>
          <w:color w:val="000000"/>
          <w:sz w:val="20"/>
          <w:szCs w:val="20"/>
        </w:rPr>
        <w:t>, binding both active and inactive forms of ABL kinase</w:t>
      </w:r>
      <w:r w:rsidRPr="00F10ED0">
        <w:rPr>
          <w:rFonts w:ascii="Arial" w:hAnsi="Arial" w:cs="Arial"/>
          <w:color w:val="000000"/>
          <w:sz w:val="20"/>
          <w:szCs w:val="20"/>
        </w:rPr>
        <w:t xml:space="preserve">); </w:t>
      </w:r>
      <w:proofErr w:type="spellStart"/>
      <w:r w:rsidR="00F10ED0">
        <w:rPr>
          <w:rFonts w:ascii="Arial" w:eastAsia="Times New Roman" w:hAnsi="Arial" w:cs="Arial"/>
          <w:b/>
          <w:sz w:val="20"/>
          <w:szCs w:val="20"/>
          <w:lang w:val="en-GB"/>
        </w:rPr>
        <w:t>t</w:t>
      </w:r>
      <w:r w:rsidR="00F10ED0" w:rsidRPr="002F1564">
        <w:rPr>
          <w:rFonts w:ascii="Arial" w:eastAsia="Times New Roman" w:hAnsi="Arial" w:cs="Arial"/>
          <w:b/>
          <w:sz w:val="20"/>
          <w:szCs w:val="20"/>
          <w:lang w:val="en-GB"/>
        </w:rPr>
        <w:t>ozasertib</w:t>
      </w:r>
      <w:proofErr w:type="spellEnd"/>
      <w:r w:rsidR="00F10ED0" w:rsidRPr="002F1564">
        <w:rPr>
          <w:rFonts w:ascii="Arial" w:eastAsia="Times New Roman" w:hAnsi="Arial" w:cs="Arial"/>
          <w:sz w:val="20"/>
          <w:szCs w:val="20"/>
          <w:lang w:val="en-GB"/>
        </w:rPr>
        <w:t xml:space="preserve"> </w:t>
      </w:r>
      <w:r w:rsidRPr="002F1564">
        <w:rPr>
          <w:rFonts w:ascii="Arial" w:eastAsia="Times New Roman" w:hAnsi="Arial" w:cs="Arial"/>
          <w:sz w:val="20"/>
          <w:szCs w:val="20"/>
          <w:lang w:val="en-GB"/>
        </w:rPr>
        <w:t>(</w:t>
      </w:r>
      <w:r w:rsidRPr="00F10ED0">
        <w:rPr>
          <w:rFonts w:ascii="Arial" w:hAnsi="Arial" w:cs="Arial"/>
          <w:sz w:val="20"/>
          <w:szCs w:val="20"/>
          <w:lang w:eastAsia="zh-CN"/>
        </w:rPr>
        <w:t>VX-680,</w:t>
      </w:r>
      <w:r w:rsidRPr="00F512B7">
        <w:rPr>
          <w:rFonts w:ascii="Arial" w:hAnsi="Arial" w:cs="Arial"/>
          <w:b/>
          <w:sz w:val="20"/>
          <w:szCs w:val="20"/>
          <w:lang w:eastAsia="zh-CN"/>
        </w:rPr>
        <w:t xml:space="preserve"> </w:t>
      </w:r>
      <w:r w:rsidRPr="00F512B7">
        <w:rPr>
          <w:rFonts w:ascii="Arial" w:hAnsi="Arial" w:cs="Arial"/>
          <w:color w:val="000000"/>
          <w:sz w:val="20"/>
          <w:szCs w:val="20"/>
        </w:rPr>
        <w:t>inhibitor of Aurora A, B, C, which play a role in mitosis and meiosis during proliferation (between G2 to M phase)</w:t>
      </w:r>
      <w:r w:rsidRPr="00F10ED0">
        <w:rPr>
          <w:rFonts w:ascii="Arial" w:hAnsi="Arial" w:cs="Arial"/>
          <w:color w:val="000000"/>
          <w:sz w:val="20"/>
          <w:szCs w:val="20"/>
        </w:rPr>
        <w:t xml:space="preserve">; </w:t>
      </w:r>
      <w:r w:rsidRPr="00F512B7">
        <w:rPr>
          <w:rFonts w:ascii="Arial" w:hAnsi="Arial" w:cs="Arial"/>
          <w:b/>
          <w:sz w:val="20"/>
          <w:szCs w:val="20"/>
          <w:lang w:eastAsia="zh-CN"/>
        </w:rPr>
        <w:t>U-104</w:t>
      </w:r>
      <w:r w:rsidRPr="00F512B7">
        <w:rPr>
          <w:rFonts w:ascii="Arial" w:hAnsi="Arial" w:cs="Arial"/>
          <w:sz w:val="20"/>
          <w:szCs w:val="20"/>
          <w:lang w:eastAsia="zh-CN"/>
        </w:rPr>
        <w:t xml:space="preserve"> (</w:t>
      </w:r>
      <w:r w:rsidRPr="00F512B7">
        <w:rPr>
          <w:rFonts w:ascii="Arial" w:hAnsi="Arial" w:cs="Arial"/>
          <w:color w:val="000000"/>
          <w:sz w:val="20"/>
          <w:szCs w:val="20"/>
        </w:rPr>
        <w:t xml:space="preserve">inhibitor of carbonic anhydrase IX/X inhibitor II. CAIX expression is regulated by VHL protein, and VHL mutation </w:t>
      </w:r>
      <w:r w:rsidRPr="00F85981">
        <w:rPr>
          <w:rFonts w:ascii="Arial" w:hAnsi="Arial" w:cs="Arial"/>
          <w:color w:val="000000"/>
          <w:sz w:val="20"/>
          <w:szCs w:val="20"/>
        </w:rPr>
        <w:t>loss is associated with clear cell RCC, so CAIX expression is related to clear cell RCC</w:t>
      </w:r>
      <w:r w:rsidRPr="00F10ED0">
        <w:rPr>
          <w:rFonts w:ascii="Arial" w:hAnsi="Arial" w:cs="Arial"/>
          <w:color w:val="000000"/>
          <w:sz w:val="20"/>
          <w:szCs w:val="20"/>
        </w:rPr>
        <w:t xml:space="preserve">); </w:t>
      </w:r>
      <w:r w:rsidRPr="00F512B7">
        <w:rPr>
          <w:rFonts w:ascii="Arial" w:hAnsi="Arial" w:cs="Arial"/>
          <w:b/>
          <w:sz w:val="20"/>
          <w:szCs w:val="20"/>
          <w:lang w:eastAsia="zh-CN"/>
        </w:rPr>
        <w:t>AZD4547</w:t>
      </w:r>
      <w:r w:rsidRPr="00F512B7">
        <w:rPr>
          <w:rFonts w:ascii="Arial" w:hAnsi="Arial" w:cs="Arial"/>
          <w:sz w:val="20"/>
          <w:szCs w:val="20"/>
          <w:lang w:eastAsia="zh-CN"/>
        </w:rPr>
        <w:t xml:space="preserve"> (</w:t>
      </w:r>
      <w:r w:rsidRPr="005C7376">
        <w:rPr>
          <w:rFonts w:ascii="Arial" w:hAnsi="Arial" w:cs="Arial"/>
          <w:color w:val="000000"/>
          <w:sz w:val="20"/>
          <w:szCs w:val="20"/>
        </w:rPr>
        <w:t>TKI targeting FGFR 1-3 and also showing a weak activity against FGFR4</w:t>
      </w:r>
      <w:hyperlink w:anchor="_ENREF_33" w:tooltip="Zhang, 2012 #2885" w:history="1"/>
      <w:r w:rsidRPr="00F10ED0">
        <w:rPr>
          <w:rFonts w:ascii="Arial" w:hAnsi="Arial" w:cs="Arial"/>
          <w:color w:val="000000"/>
          <w:sz w:val="20"/>
          <w:szCs w:val="20"/>
        </w:rPr>
        <w:t>)</w:t>
      </w:r>
      <w:r w:rsidR="00F10ED0">
        <w:rPr>
          <w:rFonts w:ascii="Arial" w:hAnsi="Arial" w:cs="Arial"/>
          <w:color w:val="000000"/>
          <w:sz w:val="20"/>
          <w:szCs w:val="20"/>
        </w:rPr>
        <w:t xml:space="preserve">, and </w:t>
      </w:r>
      <w:r w:rsidR="00F10ED0" w:rsidRPr="00E144AE">
        <w:rPr>
          <w:rFonts w:ascii="Arial" w:hAnsi="Arial" w:cs="Arial"/>
          <w:b/>
          <w:color w:val="000000"/>
          <w:sz w:val="20"/>
          <w:szCs w:val="20"/>
        </w:rPr>
        <w:t>crenolanib</w:t>
      </w:r>
      <w:r w:rsidR="00F10ED0">
        <w:rPr>
          <w:rFonts w:ascii="Arial" w:hAnsi="Arial" w:cs="Arial"/>
          <w:color w:val="000000"/>
          <w:sz w:val="20"/>
          <w:szCs w:val="20"/>
        </w:rPr>
        <w:t xml:space="preserve"> (designed to inhibit PDGFRs but shown to </w:t>
      </w:r>
      <w:r w:rsidR="00B7778D">
        <w:rPr>
          <w:rFonts w:ascii="Arial" w:hAnsi="Arial" w:cs="Arial"/>
          <w:color w:val="000000"/>
          <w:sz w:val="20"/>
          <w:szCs w:val="20"/>
        </w:rPr>
        <w:t xml:space="preserve">act via cell </w:t>
      </w:r>
      <w:proofErr w:type="spellStart"/>
      <w:r w:rsidR="00B7778D">
        <w:rPr>
          <w:rFonts w:ascii="Arial" w:hAnsi="Arial" w:cs="Arial"/>
          <w:color w:val="000000"/>
          <w:sz w:val="20"/>
          <w:szCs w:val="20"/>
        </w:rPr>
        <w:t>cylcle</w:t>
      </w:r>
      <w:proofErr w:type="spellEnd"/>
      <w:r w:rsidR="00B7778D">
        <w:rPr>
          <w:rFonts w:ascii="Arial" w:hAnsi="Arial" w:cs="Arial"/>
          <w:color w:val="000000"/>
          <w:sz w:val="20"/>
          <w:szCs w:val="20"/>
        </w:rPr>
        <w:t xml:space="preserve"> modulation as well)</w:t>
      </w:r>
      <w:r w:rsidRPr="00F10ED0">
        <w:rPr>
          <w:rFonts w:ascii="Arial" w:hAnsi="Arial" w:cs="Arial"/>
          <w:color w:val="000000"/>
          <w:sz w:val="20"/>
          <w:szCs w:val="20"/>
        </w:rPr>
        <w:t xml:space="preserve">. </w:t>
      </w:r>
    </w:p>
    <w:p w:rsidR="005A5766" w:rsidRDefault="005A5766" w:rsidP="00945FA0">
      <w:pPr>
        <w:spacing w:after="0" w:line="480" w:lineRule="auto"/>
        <w:rPr>
          <w:rFonts w:ascii="Arial" w:hAnsi="Arial" w:cs="Arial"/>
          <w:sz w:val="20"/>
          <w:szCs w:val="20"/>
        </w:rPr>
      </w:pPr>
    </w:p>
    <w:p w:rsidR="00F33215" w:rsidRPr="005A5766" w:rsidRDefault="00F33215" w:rsidP="00945FA0">
      <w:pPr>
        <w:spacing w:after="0" w:line="480" w:lineRule="auto"/>
        <w:rPr>
          <w:rFonts w:ascii="Arial" w:hAnsi="Arial" w:cs="Arial"/>
          <w:b/>
          <w:sz w:val="20"/>
          <w:szCs w:val="20"/>
        </w:rPr>
      </w:pPr>
      <w:r w:rsidRPr="005A5766">
        <w:rPr>
          <w:rFonts w:ascii="Arial" w:hAnsi="Arial" w:cs="Arial"/>
          <w:b/>
          <w:sz w:val="20"/>
          <w:szCs w:val="20"/>
        </w:rPr>
        <w:t>Figure S1.1</w:t>
      </w:r>
      <w:r>
        <w:rPr>
          <w:rFonts w:ascii="Arial" w:hAnsi="Arial" w:cs="Arial"/>
          <w:b/>
          <w:sz w:val="20"/>
          <w:szCs w:val="20"/>
        </w:rPr>
        <w:t xml:space="preserve">.2 </w:t>
      </w:r>
      <w:r w:rsidRPr="005A5766">
        <w:rPr>
          <w:rFonts w:ascii="Arial" w:hAnsi="Arial" w:cs="Arial"/>
          <w:b/>
          <w:sz w:val="20"/>
          <w:szCs w:val="20"/>
        </w:rPr>
        <w:t xml:space="preserve">Monotherapy dose response curves </w:t>
      </w:r>
    </w:p>
    <w:p w:rsidR="00F33215" w:rsidRPr="005A5766" w:rsidRDefault="00F33215" w:rsidP="00945FA0">
      <w:pPr>
        <w:spacing w:after="0" w:line="480" w:lineRule="auto"/>
        <w:rPr>
          <w:rFonts w:ascii="Arial" w:hAnsi="Arial" w:cs="Arial"/>
          <w:sz w:val="20"/>
          <w:szCs w:val="20"/>
        </w:rPr>
      </w:pPr>
      <w:r w:rsidRPr="005A5766">
        <w:rPr>
          <w:rFonts w:ascii="Arial" w:hAnsi="Arial" w:cs="Arial"/>
          <w:sz w:val="20"/>
          <w:szCs w:val="20"/>
        </w:rPr>
        <w:t xml:space="preserve">Dose response curves </w:t>
      </w:r>
      <w:r w:rsidR="00E144AE">
        <w:rPr>
          <w:rFonts w:ascii="Arial" w:hAnsi="Arial" w:cs="Arial"/>
          <w:sz w:val="20"/>
          <w:szCs w:val="20"/>
        </w:rPr>
        <w:t xml:space="preserve">based on cell metabolic activity </w:t>
      </w:r>
      <w:r w:rsidRPr="005A5766">
        <w:rPr>
          <w:rFonts w:ascii="Arial" w:hAnsi="Arial" w:cs="Arial"/>
          <w:sz w:val="20"/>
          <w:szCs w:val="20"/>
        </w:rPr>
        <w:t>were generated for 5 RCC lines (786-O, A498, Caki-1, Caki-2 and ACHN) and the endothelial cell line EC-RF24, for all ten drugs used in the s-FSC screen. For presentation purposes, non-linear fitting was performed on the data (at least triplicate measurements)</w:t>
      </w:r>
      <w:r w:rsidR="002F1564">
        <w:rPr>
          <w:rFonts w:ascii="Arial" w:hAnsi="Arial" w:cs="Arial"/>
          <w:sz w:val="20"/>
          <w:szCs w:val="20"/>
        </w:rPr>
        <w:t>.</w:t>
      </w:r>
    </w:p>
    <w:p w:rsidR="00F33215" w:rsidRPr="00F512B7" w:rsidRDefault="00F33215" w:rsidP="00945FA0">
      <w:pPr>
        <w:spacing w:after="0" w:line="480" w:lineRule="auto"/>
        <w:rPr>
          <w:rFonts w:ascii="Arial" w:hAnsi="Arial" w:cs="Arial"/>
          <w:sz w:val="20"/>
          <w:szCs w:val="20"/>
        </w:rPr>
      </w:pP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S1.2.1-</w:t>
      </w:r>
      <w:r w:rsidR="00F85981">
        <w:rPr>
          <w:rFonts w:ascii="Arial" w:hAnsi="Arial" w:cs="Arial"/>
          <w:b/>
          <w:sz w:val="20"/>
          <w:szCs w:val="20"/>
        </w:rPr>
        <w:t>6</w:t>
      </w:r>
      <w:r w:rsidR="00F85981" w:rsidRPr="005A5766">
        <w:rPr>
          <w:rFonts w:ascii="Arial" w:hAnsi="Arial" w:cs="Arial"/>
          <w:b/>
          <w:sz w:val="20"/>
          <w:szCs w:val="20"/>
        </w:rPr>
        <w:t xml:space="preserve"> </w:t>
      </w:r>
      <w:r w:rsidRPr="005A5766">
        <w:rPr>
          <w:rFonts w:ascii="Arial" w:hAnsi="Arial" w:cs="Arial"/>
          <w:b/>
          <w:sz w:val="20"/>
          <w:szCs w:val="20"/>
        </w:rPr>
        <w:t>Screening for optimized drug combinations</w:t>
      </w:r>
    </w:p>
    <w:p w:rsidR="002F1564" w:rsidRPr="005A5766" w:rsidRDefault="005A5766" w:rsidP="00945FA0">
      <w:pPr>
        <w:spacing w:after="0" w:line="480" w:lineRule="auto"/>
        <w:rPr>
          <w:rFonts w:ascii="Arial" w:hAnsi="Arial" w:cs="Arial"/>
          <w:color w:val="000000"/>
          <w:sz w:val="20"/>
          <w:szCs w:val="20"/>
          <w:shd w:val="clear" w:color="auto" w:fill="FFFFFF"/>
        </w:rPr>
      </w:pPr>
      <w:r w:rsidRPr="005A5766">
        <w:rPr>
          <w:rFonts w:ascii="Arial" w:hAnsi="Arial" w:cs="Arial"/>
          <w:sz w:val="20"/>
          <w:szCs w:val="20"/>
        </w:rPr>
        <w:t>Data are presented for all RCC lines</w:t>
      </w:r>
      <w:r w:rsidR="00F85981">
        <w:rPr>
          <w:rFonts w:ascii="Arial" w:hAnsi="Arial" w:cs="Arial"/>
          <w:sz w:val="20"/>
          <w:szCs w:val="20"/>
        </w:rPr>
        <w:t xml:space="preserve"> and EC-RF24</w:t>
      </w:r>
      <w:r w:rsidRPr="005A5766">
        <w:rPr>
          <w:rFonts w:ascii="Arial" w:hAnsi="Arial" w:cs="Arial"/>
          <w:sz w:val="20"/>
          <w:szCs w:val="20"/>
        </w:rPr>
        <w:t xml:space="preserve">. A) Efficacy of the tested drug combinations in search </w:t>
      </w:r>
      <w:r w:rsidR="002F1564" w:rsidRPr="00931241">
        <w:rPr>
          <w:rFonts w:ascii="Arial" w:hAnsi="Arial" w:cs="Arial"/>
          <w:sz w:val="20"/>
          <w:szCs w:val="20"/>
        </w:rPr>
        <w:t>3</w:t>
      </w:r>
      <w:r w:rsidRPr="005A5766">
        <w:rPr>
          <w:rFonts w:ascii="Arial" w:hAnsi="Arial" w:cs="Arial"/>
          <w:sz w:val="20"/>
          <w:szCs w:val="20"/>
        </w:rPr>
        <w:t xml:space="preserve">. In green the ODC (with a maximum of 3 drugs </w:t>
      </w:r>
      <w:r w:rsidR="002F1564">
        <w:rPr>
          <w:rFonts w:ascii="Arial" w:hAnsi="Arial" w:cs="Arial"/>
          <w:sz w:val="20"/>
          <w:szCs w:val="20"/>
        </w:rPr>
        <w:t xml:space="preserve">out </w:t>
      </w:r>
      <w:r w:rsidRPr="005A5766">
        <w:rPr>
          <w:rFonts w:ascii="Arial" w:hAnsi="Arial" w:cs="Arial"/>
          <w:sz w:val="20"/>
          <w:szCs w:val="20"/>
        </w:rPr>
        <w:t xml:space="preserve">of 4) is indicated. B) Coefficients from the second order linear regression analysis applied to search </w:t>
      </w:r>
      <w:r w:rsidRPr="00931241">
        <w:rPr>
          <w:rFonts w:ascii="Arial" w:hAnsi="Arial" w:cs="Arial"/>
          <w:sz w:val="20"/>
          <w:szCs w:val="20"/>
        </w:rPr>
        <w:t>3</w:t>
      </w:r>
      <w:r w:rsidRPr="005A5766">
        <w:rPr>
          <w:rFonts w:ascii="Arial" w:hAnsi="Arial" w:cs="Arial"/>
          <w:sz w:val="20"/>
          <w:szCs w:val="20"/>
        </w:rPr>
        <w:t xml:space="preserve">, </w:t>
      </w:r>
      <w:r w:rsidR="00D319EA">
        <w:rPr>
          <w:rFonts w:ascii="Arial" w:hAnsi="Arial" w:cs="Arial"/>
          <w:sz w:val="20"/>
          <w:szCs w:val="20"/>
        </w:rPr>
        <w:t>composed of the final</w:t>
      </w:r>
      <w:r w:rsidR="00D319EA" w:rsidRPr="005A5766">
        <w:rPr>
          <w:rFonts w:ascii="Arial" w:hAnsi="Arial" w:cs="Arial"/>
          <w:sz w:val="20"/>
          <w:szCs w:val="20"/>
        </w:rPr>
        <w:t xml:space="preserve"> </w:t>
      </w:r>
      <w:r w:rsidRPr="005A5766">
        <w:rPr>
          <w:rFonts w:ascii="Arial" w:hAnsi="Arial" w:cs="Arial"/>
          <w:sz w:val="20"/>
          <w:szCs w:val="20"/>
        </w:rPr>
        <w:t>4 drugs remain</w:t>
      </w:r>
      <w:r w:rsidR="00D319EA">
        <w:rPr>
          <w:rFonts w:ascii="Arial" w:hAnsi="Arial" w:cs="Arial"/>
          <w:sz w:val="20"/>
          <w:szCs w:val="20"/>
        </w:rPr>
        <w:t>ing</w:t>
      </w:r>
      <w:r w:rsidRPr="005A5766">
        <w:rPr>
          <w:rFonts w:ascii="Arial" w:hAnsi="Arial" w:cs="Arial"/>
          <w:sz w:val="20"/>
          <w:szCs w:val="20"/>
        </w:rPr>
        <w:t xml:space="preserve"> </w:t>
      </w:r>
      <w:r w:rsidR="00D319EA">
        <w:rPr>
          <w:rFonts w:ascii="Arial" w:hAnsi="Arial" w:cs="Arial"/>
          <w:sz w:val="20"/>
          <w:szCs w:val="20"/>
        </w:rPr>
        <w:t>in the screen and leading to the selection of the ODC</w:t>
      </w:r>
      <w:r w:rsidRPr="005A5766">
        <w:rPr>
          <w:rFonts w:ascii="Arial" w:hAnsi="Arial" w:cs="Arial"/>
          <w:sz w:val="20"/>
          <w:szCs w:val="20"/>
        </w:rPr>
        <w:t xml:space="preserve">. Negative values for single drug linear effects indicate </w:t>
      </w:r>
      <w:r w:rsidRPr="005A5766">
        <w:rPr>
          <w:rFonts w:ascii="Arial" w:hAnsi="Arial" w:cs="Arial"/>
          <w:color w:val="000000"/>
          <w:sz w:val="20"/>
          <w:szCs w:val="20"/>
          <w:shd w:val="clear" w:color="auto" w:fill="FFFFFF"/>
        </w:rPr>
        <w:t xml:space="preserve">that increasing the dose of that drug increases the inhibition of cell </w:t>
      </w:r>
      <w:r w:rsidR="00E144AE">
        <w:rPr>
          <w:rFonts w:ascii="Arial" w:hAnsi="Arial" w:cs="Arial"/>
          <w:color w:val="000000"/>
          <w:sz w:val="20"/>
          <w:szCs w:val="20"/>
          <w:shd w:val="clear" w:color="auto" w:fill="FFFFFF"/>
        </w:rPr>
        <w:t xml:space="preserve">metabolic </w:t>
      </w:r>
      <w:r w:rsidR="00D92DB1">
        <w:rPr>
          <w:rFonts w:ascii="Arial" w:hAnsi="Arial" w:cs="Arial"/>
          <w:color w:val="000000"/>
          <w:sz w:val="20"/>
          <w:szCs w:val="20"/>
          <w:shd w:val="clear" w:color="auto" w:fill="FFFFFF"/>
        </w:rPr>
        <w:t>activity</w:t>
      </w:r>
      <w:r w:rsidRPr="005A5766">
        <w:rPr>
          <w:rFonts w:ascii="Arial" w:hAnsi="Arial" w:cs="Arial"/>
          <w:color w:val="000000"/>
          <w:sz w:val="20"/>
          <w:szCs w:val="20"/>
          <w:shd w:val="clear" w:color="auto" w:fill="FFFFFF"/>
        </w:rPr>
        <w:t xml:space="preserve">. Negative two-drug </w:t>
      </w:r>
      <w:r w:rsidRPr="005A5766">
        <w:rPr>
          <w:rFonts w:ascii="Arial" w:hAnsi="Arial" w:cs="Arial"/>
          <w:color w:val="000000"/>
          <w:sz w:val="20"/>
          <w:szCs w:val="20"/>
          <w:shd w:val="clear" w:color="auto" w:fill="FFFFFF"/>
        </w:rPr>
        <w:lastRenderedPageBreak/>
        <w:t>interaction values denote synergy, whereas positive values indicate antagonism. Quadratic single drug interactions are a measure of sensitivity to dose changes. C) Response surfaces modelling the interactions between two drugs and their effect on cell metabolic activity</w:t>
      </w:r>
      <w:r w:rsidR="00D319EA">
        <w:rPr>
          <w:rFonts w:ascii="Arial" w:hAnsi="Arial" w:cs="Arial"/>
          <w:color w:val="000000"/>
          <w:sz w:val="20"/>
          <w:szCs w:val="20"/>
          <w:shd w:val="clear" w:color="auto" w:fill="FFFFFF"/>
        </w:rPr>
        <w:t xml:space="preserve"> while other compounds are held at a constant dose</w:t>
      </w:r>
      <w:r w:rsidR="00931241">
        <w:rPr>
          <w:rFonts w:ascii="Arial" w:hAnsi="Arial" w:cs="Arial"/>
          <w:color w:val="000000"/>
          <w:sz w:val="20"/>
          <w:szCs w:val="20"/>
          <w:shd w:val="clear" w:color="auto" w:fill="FFFFFF"/>
        </w:rPr>
        <w:t>.</w:t>
      </w:r>
      <w:r w:rsidR="00E144AE">
        <w:rPr>
          <w:rFonts w:ascii="Arial" w:hAnsi="Arial" w:cs="Arial"/>
          <w:color w:val="000000"/>
          <w:sz w:val="20"/>
          <w:szCs w:val="20"/>
          <w:shd w:val="clear" w:color="auto" w:fill="FFFFFF"/>
        </w:rPr>
        <w:t xml:space="preserve"> On the </w:t>
      </w:r>
      <w:r w:rsidR="00E144AE" w:rsidRPr="00514C28">
        <w:rPr>
          <w:rFonts w:ascii="Arial" w:hAnsi="Arial" w:cs="Arial"/>
          <w:color w:val="000000"/>
          <w:sz w:val="20"/>
          <w:szCs w:val="20"/>
          <w:shd w:val="clear" w:color="auto" w:fill="FFFFFF"/>
        </w:rPr>
        <w:t xml:space="preserve">x-axis </w:t>
      </w:r>
      <w:r w:rsidR="00E144AE" w:rsidRPr="00514C28">
        <w:rPr>
          <w:rFonts w:ascii="Arial" w:hAnsi="Arial" w:cs="Arial"/>
          <w:sz w:val="20"/>
          <w:szCs w:val="20"/>
        </w:rPr>
        <w:t xml:space="preserve">1= highest concentration, 0 = lower concentration, -1 = </w:t>
      </w:r>
      <w:r w:rsidR="00E144AE">
        <w:rPr>
          <w:rFonts w:ascii="Arial" w:hAnsi="Arial" w:cs="Arial"/>
          <w:sz w:val="20"/>
          <w:szCs w:val="20"/>
        </w:rPr>
        <w:t>no drug added</w:t>
      </w:r>
      <w:r w:rsidR="00E144AE" w:rsidRPr="00514C28">
        <w:rPr>
          <w:rFonts w:ascii="Arial" w:hAnsi="Arial" w:cs="Arial"/>
          <w:sz w:val="20"/>
          <w:szCs w:val="20"/>
        </w:rPr>
        <w:t xml:space="preserve">, and the remaining cell metabolic activity </w:t>
      </w:r>
      <w:r w:rsidR="00E144AE">
        <w:rPr>
          <w:rFonts w:ascii="Arial" w:hAnsi="Arial" w:cs="Arial"/>
          <w:sz w:val="20"/>
          <w:szCs w:val="20"/>
        </w:rPr>
        <w:t xml:space="preserve">(y-axis) is </w:t>
      </w:r>
      <w:r w:rsidR="00E144AE" w:rsidRPr="00514C28">
        <w:rPr>
          <w:rFonts w:ascii="Arial" w:hAnsi="Arial" w:cs="Arial"/>
          <w:sz w:val="20"/>
          <w:szCs w:val="20"/>
        </w:rPr>
        <w:t>color coded.</w:t>
      </w:r>
    </w:p>
    <w:p w:rsidR="00931241" w:rsidRDefault="00931241" w:rsidP="00945FA0">
      <w:pPr>
        <w:spacing w:after="0" w:line="480" w:lineRule="auto"/>
        <w:rPr>
          <w:rFonts w:ascii="Arial" w:hAnsi="Arial" w:cs="Arial"/>
          <w:b/>
          <w:bCs/>
          <w:color w:val="000000"/>
          <w:sz w:val="20"/>
          <w:szCs w:val="20"/>
          <w:shd w:val="clear" w:color="auto" w:fill="FFFFFF"/>
        </w:rPr>
      </w:pPr>
    </w:p>
    <w:p w:rsidR="00F85981" w:rsidRPr="00F85981" w:rsidRDefault="00F85981" w:rsidP="00945FA0">
      <w:pPr>
        <w:spacing w:after="0" w:line="480" w:lineRule="auto"/>
        <w:rPr>
          <w:rFonts w:ascii="Arial" w:hAnsi="Arial" w:cs="Arial"/>
          <w:color w:val="000000"/>
          <w:sz w:val="20"/>
          <w:szCs w:val="20"/>
          <w:shd w:val="clear" w:color="auto" w:fill="FFFFFF"/>
          <w:lang w:val="en-GB"/>
        </w:rPr>
      </w:pPr>
      <w:r w:rsidRPr="00F85981">
        <w:rPr>
          <w:rFonts w:ascii="Arial" w:hAnsi="Arial" w:cs="Arial"/>
          <w:b/>
          <w:bCs/>
          <w:color w:val="000000"/>
          <w:sz w:val="20"/>
          <w:szCs w:val="20"/>
          <w:shd w:val="clear" w:color="auto" w:fill="FFFFFF"/>
        </w:rPr>
        <w:t xml:space="preserve">Figure S1.3.1 </w:t>
      </w:r>
      <w:r w:rsidRPr="002F1564">
        <w:rPr>
          <w:rFonts w:ascii="Arial" w:hAnsi="Arial" w:cs="Arial"/>
          <w:b/>
          <w:bCs/>
          <w:color w:val="000000"/>
          <w:sz w:val="20"/>
          <w:szCs w:val="20"/>
          <w:shd w:val="clear" w:color="auto" w:fill="FFFFFF"/>
          <w:lang w:val="en-GB"/>
        </w:rPr>
        <w:t>Spheroid morphology after drug treatment</w:t>
      </w:r>
    </w:p>
    <w:p w:rsidR="00E44512" w:rsidRDefault="00F85981" w:rsidP="00945FA0">
      <w:pPr>
        <w:spacing w:after="0" w:line="480" w:lineRule="auto"/>
        <w:rPr>
          <w:rFonts w:ascii="Arial" w:hAnsi="Arial" w:cs="Arial"/>
          <w:color w:val="000000"/>
          <w:sz w:val="20"/>
          <w:szCs w:val="20"/>
          <w:shd w:val="clear" w:color="auto" w:fill="FFFFFF"/>
          <w:lang w:val="en-GB"/>
        </w:rPr>
      </w:pPr>
      <w:r w:rsidRPr="00F85981">
        <w:rPr>
          <w:rFonts w:ascii="Arial" w:hAnsi="Arial" w:cs="Arial"/>
          <w:color w:val="000000"/>
          <w:sz w:val="20"/>
          <w:szCs w:val="20"/>
          <w:shd w:val="clear" w:color="auto" w:fill="FFFFFF"/>
        </w:rPr>
        <w:t>Heterotypic spheroids consisting of a 1:3 mixture of fibroblasts and RCC, supplemented with 10% HUVEC, were treated with either ODC or monotherapy for 72hrs before analysis. Due to cell line specific morphology, size was noted not to accurately correlate with metabolic activity</w:t>
      </w:r>
      <w:r w:rsidR="008706B8">
        <w:rPr>
          <w:rFonts w:ascii="Arial" w:hAnsi="Arial" w:cs="Arial"/>
          <w:color w:val="000000"/>
          <w:sz w:val="20"/>
          <w:szCs w:val="20"/>
          <w:shd w:val="clear" w:color="auto" w:fill="FFFFFF"/>
        </w:rPr>
        <w:t xml:space="preserve"> (shown in Figure 1)</w:t>
      </w:r>
      <w:r w:rsidRPr="00F85981">
        <w:rPr>
          <w:rFonts w:ascii="Arial" w:hAnsi="Arial" w:cs="Arial"/>
          <w:color w:val="000000"/>
          <w:sz w:val="20"/>
          <w:szCs w:val="20"/>
          <w:shd w:val="clear" w:color="auto" w:fill="FFFFFF"/>
        </w:rPr>
        <w:t>.</w:t>
      </w:r>
    </w:p>
    <w:p w:rsidR="00E44512" w:rsidRDefault="00E44512" w:rsidP="00945FA0">
      <w:pPr>
        <w:spacing w:after="0" w:line="480" w:lineRule="auto"/>
        <w:rPr>
          <w:rFonts w:ascii="Arial" w:hAnsi="Arial" w:cs="Arial"/>
          <w:color w:val="000000"/>
          <w:sz w:val="20"/>
          <w:szCs w:val="20"/>
          <w:shd w:val="clear" w:color="auto" w:fill="FFFFFF"/>
          <w:lang w:val="en-GB"/>
        </w:rPr>
      </w:pPr>
    </w:p>
    <w:p w:rsidR="00F85981" w:rsidRPr="00F85981" w:rsidRDefault="00F85981" w:rsidP="00945FA0">
      <w:pPr>
        <w:spacing w:after="0" w:line="480" w:lineRule="auto"/>
        <w:rPr>
          <w:rFonts w:ascii="Arial" w:hAnsi="Arial" w:cs="Arial"/>
          <w:color w:val="000000"/>
          <w:sz w:val="20"/>
          <w:szCs w:val="20"/>
          <w:shd w:val="clear" w:color="auto" w:fill="FFFFFF"/>
          <w:lang w:val="en-GB"/>
        </w:rPr>
      </w:pPr>
      <w:r w:rsidRPr="00F85981">
        <w:rPr>
          <w:rFonts w:ascii="Arial" w:hAnsi="Arial" w:cs="Arial"/>
          <w:b/>
          <w:bCs/>
          <w:color w:val="000000"/>
          <w:sz w:val="20"/>
          <w:szCs w:val="20"/>
          <w:shd w:val="clear" w:color="auto" w:fill="FFFFFF"/>
        </w:rPr>
        <w:t>Figure S1.3.2 Dose sensitivity in</w:t>
      </w:r>
      <w:r w:rsidR="00084FAF">
        <w:rPr>
          <w:rFonts w:ascii="Arial" w:hAnsi="Arial" w:cs="Arial"/>
          <w:b/>
          <w:bCs/>
          <w:color w:val="000000"/>
          <w:sz w:val="20"/>
          <w:szCs w:val="20"/>
          <w:shd w:val="clear" w:color="auto" w:fill="FFFFFF"/>
        </w:rPr>
        <w:t xml:space="preserve"> 3D mono- and </w:t>
      </w:r>
      <w:proofErr w:type="spellStart"/>
      <w:r w:rsidR="00084FAF">
        <w:rPr>
          <w:rFonts w:ascii="Arial" w:hAnsi="Arial" w:cs="Arial"/>
          <w:b/>
          <w:bCs/>
          <w:color w:val="000000"/>
          <w:sz w:val="20"/>
          <w:szCs w:val="20"/>
          <w:shd w:val="clear" w:color="auto" w:fill="FFFFFF"/>
        </w:rPr>
        <w:t>coculture</w:t>
      </w:r>
      <w:proofErr w:type="spellEnd"/>
      <w:r w:rsidR="00084FAF">
        <w:rPr>
          <w:rFonts w:ascii="Arial" w:hAnsi="Arial" w:cs="Arial"/>
          <w:b/>
          <w:bCs/>
          <w:color w:val="000000"/>
          <w:sz w:val="20"/>
          <w:szCs w:val="20"/>
          <w:shd w:val="clear" w:color="auto" w:fill="FFFFFF"/>
        </w:rPr>
        <w:t xml:space="preserve"> systems</w:t>
      </w:r>
    </w:p>
    <w:p w:rsidR="00F85981" w:rsidRPr="00F85981" w:rsidRDefault="008706B8" w:rsidP="00945FA0">
      <w:pPr>
        <w:spacing w:after="0" w:line="480" w:lineRule="auto"/>
        <w:rPr>
          <w:rFonts w:ascii="Arial" w:hAnsi="Arial" w:cs="Arial"/>
          <w:color w:val="000000"/>
          <w:sz w:val="20"/>
          <w:szCs w:val="20"/>
          <w:shd w:val="clear" w:color="auto" w:fill="FFFFFF"/>
          <w:lang w:val="en-GB"/>
        </w:rPr>
      </w:pPr>
      <w:r>
        <w:rPr>
          <w:rFonts w:ascii="Arial" w:hAnsi="Arial" w:cs="Arial"/>
          <w:color w:val="000000"/>
          <w:sz w:val="20"/>
          <w:szCs w:val="20"/>
          <w:shd w:val="clear" w:color="auto" w:fill="FFFFFF"/>
          <w:lang w:val="en-GB"/>
        </w:rPr>
        <w:t>Homotypic s</w:t>
      </w:r>
      <w:proofErr w:type="spellStart"/>
      <w:r w:rsidR="00F85981" w:rsidRPr="00F85981">
        <w:rPr>
          <w:rFonts w:ascii="Arial" w:hAnsi="Arial" w:cs="Arial"/>
          <w:color w:val="000000"/>
          <w:sz w:val="20"/>
          <w:szCs w:val="20"/>
          <w:shd w:val="clear" w:color="auto" w:fill="FFFFFF"/>
        </w:rPr>
        <w:t>pheroids</w:t>
      </w:r>
      <w:proofErr w:type="spellEnd"/>
      <w:r w:rsidR="00F85981" w:rsidRPr="00F85981">
        <w:rPr>
          <w:rFonts w:ascii="Arial" w:hAnsi="Arial" w:cs="Arial"/>
          <w:color w:val="000000"/>
          <w:sz w:val="20"/>
          <w:szCs w:val="20"/>
          <w:shd w:val="clear" w:color="auto" w:fill="FFFFFF"/>
        </w:rPr>
        <w:t xml:space="preserve"> were formed from RCC lines only and were treated with monotherapies and ODC either at half or at full dose. Similar inhibition is seen with the majority of cell lines and drugs. Dose-sensitivity is only evident in Caki-2 where reducing the dose of the monotherapies considerably impacts the response. However, the ODC effect is apparently not affected by halving the doses of the individual drugs.</w:t>
      </w:r>
    </w:p>
    <w:p w:rsidR="002F1564" w:rsidRDefault="002F1564" w:rsidP="00945FA0">
      <w:pPr>
        <w:spacing w:after="0" w:line="480" w:lineRule="auto"/>
        <w:rPr>
          <w:rFonts w:ascii="Arial" w:hAnsi="Arial" w:cs="Arial"/>
          <w:color w:val="000000"/>
          <w:sz w:val="20"/>
          <w:szCs w:val="20"/>
          <w:shd w:val="clear" w:color="auto" w:fill="FFFFFF"/>
          <w:lang w:val="en-GB"/>
        </w:rPr>
      </w:pPr>
    </w:p>
    <w:p w:rsidR="00F85981" w:rsidRPr="00F85981" w:rsidRDefault="00F85981" w:rsidP="00945FA0">
      <w:pPr>
        <w:spacing w:after="0" w:line="480" w:lineRule="auto"/>
        <w:rPr>
          <w:rFonts w:ascii="Arial" w:hAnsi="Arial" w:cs="Arial"/>
          <w:color w:val="000000"/>
          <w:sz w:val="20"/>
          <w:szCs w:val="20"/>
          <w:shd w:val="clear" w:color="auto" w:fill="FFFFFF"/>
          <w:lang w:val="en-GB"/>
        </w:rPr>
      </w:pPr>
      <w:r w:rsidRPr="00F85981">
        <w:rPr>
          <w:rFonts w:ascii="Arial" w:hAnsi="Arial" w:cs="Arial"/>
          <w:b/>
          <w:bCs/>
          <w:color w:val="000000"/>
          <w:sz w:val="20"/>
          <w:szCs w:val="20"/>
          <w:shd w:val="clear" w:color="auto" w:fill="FFFFFF"/>
        </w:rPr>
        <w:t xml:space="preserve">Figure S1.3.3 </w:t>
      </w:r>
      <w:r w:rsidRPr="002F1564">
        <w:rPr>
          <w:rFonts w:ascii="Arial" w:hAnsi="Arial" w:cs="Arial"/>
          <w:b/>
          <w:bCs/>
          <w:color w:val="000000"/>
          <w:sz w:val="20"/>
          <w:szCs w:val="20"/>
          <w:shd w:val="clear" w:color="auto" w:fill="FFFFFF"/>
          <w:lang w:val="en-GB"/>
        </w:rPr>
        <w:t>Monotherapies and combinations of drugs in Caki-1 xenografts in mice</w:t>
      </w:r>
    </w:p>
    <w:p w:rsidR="00E8256E" w:rsidRDefault="00E8256E" w:rsidP="00945FA0">
      <w:pPr>
        <w:spacing w:line="480" w:lineRule="auto"/>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Caki-1 tumor volume growth curves of subcutaneous tumor xenografts treated for 13 days with </w:t>
      </w:r>
      <w:r w:rsidR="008706B8">
        <w:rPr>
          <w:rFonts w:ascii="Arial" w:hAnsi="Arial" w:cs="Arial"/>
          <w:color w:val="000000"/>
          <w:sz w:val="20"/>
          <w:szCs w:val="20"/>
          <w:shd w:val="clear" w:color="auto" w:fill="FFFFFF"/>
        </w:rPr>
        <w:t>vehicle control</w:t>
      </w:r>
      <w:r>
        <w:rPr>
          <w:rFonts w:ascii="Arial" w:hAnsi="Arial" w:cs="Arial"/>
          <w:color w:val="000000"/>
          <w:sz w:val="20"/>
          <w:szCs w:val="20"/>
          <w:shd w:val="clear" w:color="auto" w:fill="FFFFFF"/>
        </w:rPr>
        <w:t>, single drugs and drug combinations at various doses in N=2 independent experiments. Error bars represent the SEM</w:t>
      </w:r>
      <w:r w:rsidR="008706B8">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8706B8">
        <w:rPr>
          <w:rFonts w:ascii="Arial" w:hAnsi="Arial" w:cs="Arial"/>
          <w:color w:val="000000"/>
          <w:sz w:val="20"/>
          <w:szCs w:val="20"/>
          <w:shd w:val="clear" w:color="auto" w:fill="FFFFFF"/>
        </w:rPr>
        <w:t>***p &lt; 0.001</w:t>
      </w:r>
      <w:r w:rsidR="008706B8">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shown in the graph legend represent</w:t>
      </w:r>
      <w:r w:rsidR="008706B8">
        <w:rPr>
          <w:rFonts w:ascii="Arial" w:hAnsi="Arial" w:cs="Arial"/>
          <w:color w:val="000000"/>
          <w:sz w:val="20"/>
          <w:szCs w:val="20"/>
          <w:shd w:val="clear" w:color="auto" w:fill="FFFFFF"/>
        </w:rPr>
        <w:t>s</w:t>
      </w:r>
      <w:r>
        <w:rPr>
          <w:rFonts w:ascii="Arial" w:hAnsi="Arial" w:cs="Arial"/>
          <w:color w:val="000000"/>
          <w:sz w:val="20"/>
          <w:szCs w:val="20"/>
          <w:shd w:val="clear" w:color="auto" w:fill="FFFFFF"/>
        </w:rPr>
        <w:t xml:space="preserve"> the comparison with the </w:t>
      </w:r>
      <w:r w:rsidR="008706B8">
        <w:rPr>
          <w:rFonts w:ascii="Arial" w:hAnsi="Arial" w:cs="Arial"/>
          <w:color w:val="000000"/>
          <w:sz w:val="20"/>
          <w:szCs w:val="20"/>
          <w:shd w:val="clear" w:color="auto" w:fill="FFFFFF"/>
        </w:rPr>
        <w:t>vehicle control</w:t>
      </w:r>
      <w:r>
        <w:rPr>
          <w:rFonts w:ascii="Arial" w:hAnsi="Arial" w:cs="Arial"/>
          <w:color w:val="000000"/>
          <w:sz w:val="20"/>
          <w:szCs w:val="20"/>
          <w:shd w:val="clear" w:color="auto" w:fill="FFFFFF"/>
        </w:rPr>
        <w:t xml:space="preserve"> </w:t>
      </w:r>
      <w:r w:rsidR="008706B8">
        <w:rPr>
          <w:rFonts w:ascii="Arial" w:hAnsi="Arial" w:cs="Arial"/>
          <w:color w:val="000000"/>
          <w:sz w:val="20"/>
          <w:szCs w:val="20"/>
          <w:shd w:val="clear" w:color="auto" w:fill="FFFFFF"/>
        </w:rPr>
        <w:t xml:space="preserve">at day 13 </w:t>
      </w:r>
      <w:r>
        <w:rPr>
          <w:rFonts w:ascii="Arial" w:hAnsi="Arial" w:cs="Arial"/>
          <w:color w:val="000000"/>
          <w:sz w:val="20"/>
          <w:szCs w:val="20"/>
          <w:shd w:val="clear" w:color="auto" w:fill="FFFFFF"/>
        </w:rPr>
        <w:t xml:space="preserve">as determined by a two-way ANOVA with post-hoc Dunnett’s multiple comparisons test. </w:t>
      </w:r>
    </w:p>
    <w:p w:rsidR="00C106BF" w:rsidRDefault="00C106BF" w:rsidP="00945FA0">
      <w:pPr>
        <w:spacing w:line="480" w:lineRule="auto"/>
        <w:rPr>
          <w:rFonts w:ascii="Arial" w:hAnsi="Arial" w:cs="Arial"/>
          <w:sz w:val="20"/>
          <w:szCs w:val="20"/>
          <w:lang w:eastAsia="fr-CH"/>
        </w:rPr>
      </w:pPr>
      <w:r>
        <w:rPr>
          <w:rFonts w:ascii="Arial" w:hAnsi="Arial" w:cs="Arial"/>
          <w:sz w:val="20"/>
          <w:szCs w:val="20"/>
          <w:lang w:eastAsia="fr-CH"/>
        </w:rPr>
        <w:t xml:space="preserve">All erlotinib doses tested were already highly effective </w:t>
      </w:r>
      <w:r>
        <w:rPr>
          <w:rFonts w:ascii="Arial" w:hAnsi="Arial" w:cs="Arial"/>
          <w:i/>
          <w:sz w:val="20"/>
          <w:szCs w:val="20"/>
          <w:lang w:eastAsia="fr-CH"/>
        </w:rPr>
        <w:t>in vivo</w:t>
      </w:r>
      <w:r>
        <w:rPr>
          <w:rFonts w:ascii="Arial" w:hAnsi="Arial" w:cs="Arial"/>
          <w:sz w:val="20"/>
          <w:szCs w:val="20"/>
          <w:lang w:eastAsia="fr-CH"/>
        </w:rPr>
        <w:t xml:space="preserve">. Doses between 5-40 mg/kg, corresponding to 0.26-2 </w:t>
      </w:r>
      <w:r>
        <w:rPr>
          <w:rFonts w:ascii="Arial" w:hAnsi="Arial" w:cs="Arial"/>
          <w:sz w:val="20"/>
          <w:szCs w:val="20"/>
        </w:rPr>
        <w:t>µ</w:t>
      </w:r>
      <w:r>
        <w:rPr>
          <w:rFonts w:ascii="Arial" w:hAnsi="Arial" w:cs="Arial"/>
          <w:sz w:val="20"/>
          <w:szCs w:val="20"/>
          <w:lang w:eastAsia="fr-CH"/>
        </w:rPr>
        <w:t xml:space="preserve">M </w:t>
      </w:r>
      <w:r>
        <w:rPr>
          <w:rFonts w:ascii="Arial" w:hAnsi="Arial" w:cs="Arial"/>
          <w:i/>
          <w:sz w:val="20"/>
          <w:szCs w:val="20"/>
          <w:lang w:eastAsia="fr-CH"/>
        </w:rPr>
        <w:t xml:space="preserve">in vitro </w:t>
      </w:r>
      <w:r>
        <w:rPr>
          <w:rFonts w:ascii="Arial" w:hAnsi="Arial" w:cs="Arial"/>
          <w:sz w:val="20"/>
          <w:szCs w:val="20"/>
          <w:lang w:eastAsia="fr-CH"/>
        </w:rPr>
        <w:t xml:space="preserve">inhibited tumor growth by over 60%. For dasatinib and AZD4547, s-FSC-based doses showed </w:t>
      </w:r>
      <w:r w:rsidR="00160C38">
        <w:rPr>
          <w:rFonts w:ascii="Arial" w:hAnsi="Arial" w:cs="Arial"/>
          <w:sz w:val="20"/>
          <w:szCs w:val="20"/>
          <w:lang w:eastAsia="fr-CH"/>
        </w:rPr>
        <w:t xml:space="preserve">no significant </w:t>
      </w:r>
      <w:r>
        <w:rPr>
          <w:rFonts w:ascii="Arial" w:hAnsi="Arial" w:cs="Arial"/>
          <w:sz w:val="20"/>
          <w:szCs w:val="20"/>
          <w:lang w:eastAsia="fr-CH"/>
        </w:rPr>
        <w:t xml:space="preserve">tumor growth inhibition. The </w:t>
      </w:r>
      <w:r>
        <w:rPr>
          <w:rFonts w:ascii="Arial" w:hAnsi="Arial" w:cs="Arial"/>
          <w:i/>
          <w:sz w:val="20"/>
          <w:szCs w:val="20"/>
          <w:lang w:eastAsia="fr-CH"/>
        </w:rPr>
        <w:t>in vivo</w:t>
      </w:r>
      <w:r>
        <w:rPr>
          <w:rFonts w:ascii="Arial" w:hAnsi="Arial" w:cs="Arial"/>
          <w:sz w:val="20"/>
          <w:szCs w:val="20"/>
          <w:lang w:eastAsia="fr-CH"/>
        </w:rPr>
        <w:t xml:space="preserve"> dominance of erlotinib was further </w:t>
      </w:r>
      <w:r>
        <w:rPr>
          <w:rFonts w:ascii="Arial" w:hAnsi="Arial" w:cs="Arial"/>
          <w:sz w:val="20"/>
          <w:szCs w:val="20"/>
          <w:lang w:eastAsia="fr-CH"/>
        </w:rPr>
        <w:lastRenderedPageBreak/>
        <w:t xml:space="preserve">confirmed in the drug combinations where the activity was driven mostly by erlotinib. However, together, the ODCs show potent effects </w:t>
      </w:r>
      <w:r>
        <w:rPr>
          <w:rFonts w:ascii="Arial" w:hAnsi="Arial" w:cs="Arial"/>
          <w:i/>
          <w:sz w:val="20"/>
          <w:szCs w:val="20"/>
          <w:lang w:eastAsia="fr-CH"/>
        </w:rPr>
        <w:t>in vitro</w:t>
      </w:r>
      <w:r>
        <w:rPr>
          <w:rFonts w:ascii="Arial" w:hAnsi="Arial" w:cs="Arial"/>
          <w:sz w:val="20"/>
          <w:szCs w:val="20"/>
          <w:lang w:eastAsia="fr-CH"/>
        </w:rPr>
        <w:t xml:space="preserve"> and </w:t>
      </w:r>
      <w:r>
        <w:rPr>
          <w:rFonts w:ascii="Arial" w:hAnsi="Arial" w:cs="Arial"/>
          <w:i/>
          <w:sz w:val="20"/>
          <w:szCs w:val="20"/>
          <w:lang w:eastAsia="fr-CH"/>
        </w:rPr>
        <w:t>in vivo</w:t>
      </w:r>
      <w:r>
        <w:rPr>
          <w:rFonts w:ascii="Arial" w:hAnsi="Arial" w:cs="Arial"/>
          <w:sz w:val="20"/>
          <w:szCs w:val="20"/>
          <w:lang w:eastAsia="fr-CH"/>
        </w:rPr>
        <w:t>.</w:t>
      </w:r>
    </w:p>
    <w:p w:rsidR="00F85981" w:rsidRPr="00E8256E" w:rsidRDefault="00F85981" w:rsidP="00945FA0">
      <w:pPr>
        <w:spacing w:after="0" w:line="480" w:lineRule="auto"/>
        <w:rPr>
          <w:rFonts w:ascii="Arial" w:hAnsi="Arial" w:cs="Arial"/>
          <w:color w:val="000000"/>
          <w:sz w:val="20"/>
          <w:szCs w:val="20"/>
          <w:shd w:val="clear" w:color="auto" w:fill="FFFFFF"/>
        </w:rPr>
      </w:pPr>
    </w:p>
    <w:p w:rsidR="005A5766" w:rsidRDefault="005A5766" w:rsidP="00945FA0">
      <w:pPr>
        <w:spacing w:after="0" w:line="480" w:lineRule="auto"/>
        <w:rPr>
          <w:rFonts w:ascii="Arial" w:hAnsi="Arial" w:cs="Arial"/>
          <w:b/>
          <w:color w:val="000000"/>
          <w:sz w:val="20"/>
          <w:szCs w:val="20"/>
          <w:u w:val="single"/>
          <w:shd w:val="clear" w:color="auto" w:fill="FFFFFF"/>
        </w:rPr>
      </w:pPr>
      <w:r w:rsidRPr="00D44025">
        <w:rPr>
          <w:rFonts w:ascii="Arial" w:hAnsi="Arial" w:cs="Arial"/>
          <w:b/>
          <w:color w:val="000000"/>
          <w:sz w:val="20"/>
          <w:szCs w:val="20"/>
          <w:u w:val="single"/>
          <w:shd w:val="clear" w:color="auto" w:fill="FFFFFF"/>
        </w:rPr>
        <w:t>Supplement 2: Characterization of ODC effects in RCC</w:t>
      </w:r>
    </w:p>
    <w:p w:rsidR="000B143A" w:rsidRPr="000B143A" w:rsidRDefault="000B143A" w:rsidP="00945FA0">
      <w:pPr>
        <w:spacing w:after="0" w:line="480" w:lineRule="auto"/>
        <w:rPr>
          <w:rFonts w:ascii="Arial" w:hAnsi="Arial" w:cs="Arial"/>
          <w:b/>
          <w:sz w:val="20"/>
          <w:szCs w:val="20"/>
        </w:rPr>
      </w:pPr>
      <w:r>
        <w:rPr>
          <w:rFonts w:ascii="Arial" w:hAnsi="Arial" w:cs="Arial"/>
          <w:b/>
          <w:sz w:val="20"/>
          <w:szCs w:val="20"/>
        </w:rPr>
        <w:t>Figure S2.1 Effects of ODC on cell cycle profile</w:t>
      </w:r>
    </w:p>
    <w:p w:rsidR="000B143A" w:rsidRDefault="000B143A" w:rsidP="00945FA0">
      <w:pPr>
        <w:spacing w:after="0" w:line="480" w:lineRule="auto"/>
        <w:rPr>
          <w:rFonts w:ascii="Arial" w:hAnsi="Arial" w:cs="Arial"/>
          <w:sz w:val="20"/>
          <w:szCs w:val="20"/>
        </w:rPr>
      </w:pPr>
      <w:r w:rsidRPr="00514C28">
        <w:rPr>
          <w:rFonts w:ascii="Arial" w:hAnsi="Arial" w:cs="Arial"/>
          <w:sz w:val="20"/>
          <w:szCs w:val="20"/>
        </w:rPr>
        <w:t>A) RCC were treated with monotherapies or ODC</w:t>
      </w:r>
      <w:r>
        <w:rPr>
          <w:rFonts w:ascii="Arial" w:hAnsi="Arial" w:cs="Arial"/>
          <w:sz w:val="20"/>
          <w:szCs w:val="20"/>
        </w:rPr>
        <w:t xml:space="preserve"> for 72hrs</w:t>
      </w:r>
      <w:r w:rsidRPr="00514C28">
        <w:rPr>
          <w:rFonts w:ascii="Arial" w:hAnsi="Arial" w:cs="Arial"/>
          <w:sz w:val="20"/>
          <w:szCs w:val="20"/>
        </w:rPr>
        <w:t xml:space="preserve"> and subject to flow-cytometry based cell cycle analysis by propidium iodide staining for cellular DNA content. </w:t>
      </w:r>
      <w:r>
        <w:rPr>
          <w:rFonts w:ascii="Arial" w:hAnsi="Arial" w:cs="Arial"/>
          <w:sz w:val="20"/>
          <w:szCs w:val="20"/>
        </w:rPr>
        <w:t xml:space="preserve">In general, ODC treatment induced apoptosis in the cell lines. </w:t>
      </w:r>
      <w:r w:rsidRPr="00514C28">
        <w:rPr>
          <w:rFonts w:ascii="Arial" w:hAnsi="Arial" w:cs="Arial"/>
          <w:sz w:val="20"/>
          <w:szCs w:val="20"/>
        </w:rPr>
        <w:t xml:space="preserve">Most monotherapies do not affect the distribution of the different </w:t>
      </w:r>
      <w:r>
        <w:rPr>
          <w:rFonts w:ascii="Arial" w:hAnsi="Arial" w:cs="Arial"/>
          <w:sz w:val="20"/>
          <w:szCs w:val="20"/>
        </w:rPr>
        <w:t xml:space="preserve">cell cycle </w:t>
      </w:r>
      <w:r w:rsidRPr="00514C28">
        <w:rPr>
          <w:rFonts w:ascii="Arial" w:hAnsi="Arial" w:cs="Arial"/>
          <w:sz w:val="20"/>
          <w:szCs w:val="20"/>
        </w:rPr>
        <w:t>phases as compared to control, with the ex</w:t>
      </w:r>
      <w:r>
        <w:rPr>
          <w:rFonts w:ascii="Arial" w:hAnsi="Arial" w:cs="Arial"/>
          <w:sz w:val="20"/>
          <w:szCs w:val="20"/>
        </w:rPr>
        <w:t>c</w:t>
      </w:r>
      <w:r w:rsidRPr="00514C28">
        <w:rPr>
          <w:rFonts w:ascii="Arial" w:hAnsi="Arial" w:cs="Arial"/>
          <w:sz w:val="20"/>
          <w:szCs w:val="20"/>
        </w:rPr>
        <w:t xml:space="preserve">eption of axitinib and crenolanib that seem to induce apoptosis. </w:t>
      </w:r>
      <w:r>
        <w:rPr>
          <w:rFonts w:ascii="Arial" w:hAnsi="Arial" w:cs="Arial"/>
          <w:sz w:val="20"/>
          <w:szCs w:val="20"/>
        </w:rPr>
        <w:t xml:space="preserve">Significant changes in the different phases are indicated at the top of the graph. B) For a direct </w:t>
      </w:r>
      <w:r w:rsidR="00D92DB1">
        <w:rPr>
          <w:rFonts w:ascii="Arial" w:hAnsi="Arial" w:cs="Arial"/>
          <w:sz w:val="20"/>
          <w:szCs w:val="20"/>
        </w:rPr>
        <w:t>comparison</w:t>
      </w:r>
      <w:r>
        <w:rPr>
          <w:rFonts w:ascii="Arial" w:hAnsi="Arial" w:cs="Arial"/>
          <w:sz w:val="20"/>
          <w:szCs w:val="20"/>
        </w:rPr>
        <w:t xml:space="preserve">, the </w:t>
      </w:r>
      <w:r w:rsidRPr="00514C28">
        <w:rPr>
          <w:rFonts w:ascii="Arial" w:hAnsi="Arial" w:cs="Arial"/>
          <w:sz w:val="20"/>
          <w:szCs w:val="20"/>
        </w:rPr>
        <w:t xml:space="preserve">sub-G1 fraction </w:t>
      </w:r>
      <w:r>
        <w:rPr>
          <w:rFonts w:ascii="Arial" w:hAnsi="Arial" w:cs="Arial"/>
          <w:sz w:val="20"/>
          <w:szCs w:val="20"/>
        </w:rPr>
        <w:t>was classified as apoptotic fraction. In these experiments, sunitinib (</w:t>
      </w:r>
      <w:r w:rsidRPr="00514C28">
        <w:rPr>
          <w:rFonts w:ascii="Arial" w:hAnsi="Arial" w:cs="Arial"/>
          <w:sz w:val="20"/>
          <w:szCs w:val="20"/>
        </w:rPr>
        <w:t xml:space="preserve">10 </w:t>
      </w:r>
      <w:r>
        <w:rPr>
          <w:rFonts w:ascii="Arial" w:hAnsi="Arial" w:cs="Arial"/>
          <w:sz w:val="20"/>
          <w:szCs w:val="20"/>
        </w:rPr>
        <w:t>µ</w:t>
      </w:r>
      <w:r w:rsidRPr="00514C28">
        <w:rPr>
          <w:rFonts w:ascii="Arial" w:hAnsi="Arial" w:cs="Arial"/>
          <w:sz w:val="20"/>
          <w:szCs w:val="20"/>
        </w:rPr>
        <w:t>M</w:t>
      </w:r>
      <w:r>
        <w:rPr>
          <w:rFonts w:ascii="Arial" w:hAnsi="Arial" w:cs="Arial"/>
          <w:sz w:val="20"/>
          <w:szCs w:val="20"/>
        </w:rPr>
        <w:t xml:space="preserve">) was used as a positive control as this compound is among first-line treatments for RCC. </w:t>
      </w:r>
      <w:proofErr w:type="spellStart"/>
      <w:r>
        <w:rPr>
          <w:rFonts w:ascii="Arial" w:hAnsi="Arial" w:cs="Arial"/>
          <w:sz w:val="20"/>
          <w:szCs w:val="20"/>
        </w:rPr>
        <w:t>ccRCC</w:t>
      </w:r>
      <w:proofErr w:type="spellEnd"/>
      <w:r>
        <w:rPr>
          <w:rFonts w:ascii="Arial" w:hAnsi="Arial" w:cs="Arial"/>
          <w:sz w:val="20"/>
          <w:szCs w:val="20"/>
        </w:rPr>
        <w:t xml:space="preserve"> lines showed apoptosis induction by sunitinib at comparable levels to ODC, whereas the papillary RCC lines were totally insensitive. </w:t>
      </w:r>
      <w:r w:rsidRPr="00514C28">
        <w:rPr>
          <w:rFonts w:ascii="Arial" w:hAnsi="Arial" w:cs="Arial"/>
          <w:sz w:val="20"/>
          <w:szCs w:val="20"/>
        </w:rPr>
        <w:t>Of note, crenolanib alone clearly induced cell death in Caki-2, however in combination with oth</w:t>
      </w:r>
      <w:r>
        <w:rPr>
          <w:rFonts w:ascii="Arial" w:hAnsi="Arial" w:cs="Arial"/>
          <w:sz w:val="20"/>
          <w:szCs w:val="20"/>
        </w:rPr>
        <w:t>er drugs this effect is reduced.</w:t>
      </w:r>
    </w:p>
    <w:p w:rsidR="000B143A" w:rsidRDefault="000B143A" w:rsidP="00945FA0">
      <w:pPr>
        <w:spacing w:after="0" w:line="480" w:lineRule="auto"/>
        <w:rPr>
          <w:rFonts w:ascii="Arial" w:hAnsi="Arial" w:cs="Arial"/>
          <w:b/>
          <w:color w:val="000000"/>
          <w:sz w:val="20"/>
          <w:szCs w:val="20"/>
          <w:u w:val="single"/>
          <w:shd w:val="clear" w:color="auto" w:fill="FFFFFF"/>
        </w:rPr>
      </w:pPr>
    </w:p>
    <w:p w:rsidR="004F0A2C" w:rsidRDefault="00F85981" w:rsidP="00945FA0">
      <w:pPr>
        <w:spacing w:after="0" w:line="480" w:lineRule="auto"/>
        <w:rPr>
          <w:rFonts w:ascii="Arial" w:hAnsi="Arial" w:cs="Arial"/>
          <w:sz w:val="20"/>
          <w:szCs w:val="20"/>
        </w:rPr>
      </w:pPr>
      <w:r w:rsidRPr="00F85981">
        <w:rPr>
          <w:rFonts w:ascii="Arial" w:hAnsi="Arial" w:cs="Arial"/>
          <w:b/>
          <w:bCs/>
          <w:sz w:val="20"/>
          <w:szCs w:val="20"/>
        </w:rPr>
        <w:t>Figure S2</w:t>
      </w:r>
      <w:r w:rsidR="00A172F4">
        <w:rPr>
          <w:rFonts w:ascii="Arial" w:hAnsi="Arial" w:cs="Arial"/>
          <w:b/>
          <w:bCs/>
          <w:sz w:val="20"/>
          <w:szCs w:val="20"/>
        </w:rPr>
        <w:t>.2</w:t>
      </w:r>
      <w:r w:rsidRPr="00F85981">
        <w:rPr>
          <w:rFonts w:ascii="Arial" w:hAnsi="Arial" w:cs="Arial"/>
          <w:b/>
          <w:bCs/>
          <w:sz w:val="20"/>
          <w:szCs w:val="20"/>
        </w:rPr>
        <w:t xml:space="preserve"> Mechanism of action of drug combinations</w:t>
      </w:r>
      <w:r w:rsidRPr="002F1564">
        <w:rPr>
          <w:rFonts w:ascii="Arial" w:hAnsi="Arial" w:cs="Arial"/>
          <w:sz w:val="20"/>
          <w:szCs w:val="20"/>
        </w:rPr>
        <w:t xml:space="preserve"> </w:t>
      </w:r>
    </w:p>
    <w:p w:rsidR="00F85981" w:rsidRPr="004F0A2C" w:rsidRDefault="00F85981" w:rsidP="00945FA0">
      <w:pPr>
        <w:spacing w:after="0" w:line="480" w:lineRule="auto"/>
        <w:rPr>
          <w:rFonts w:ascii="Arial" w:hAnsi="Arial" w:cs="Arial"/>
          <w:b/>
          <w:sz w:val="20"/>
          <w:szCs w:val="20"/>
          <w:lang w:val="en-GB"/>
        </w:rPr>
      </w:pPr>
      <w:r w:rsidRPr="002F1564">
        <w:rPr>
          <w:rFonts w:ascii="Arial" w:hAnsi="Arial" w:cs="Arial"/>
          <w:sz w:val="20"/>
          <w:szCs w:val="20"/>
        </w:rPr>
        <w:t>Quantification of western blot</w:t>
      </w:r>
      <w:r w:rsidR="00E44512">
        <w:rPr>
          <w:rFonts w:ascii="Arial" w:hAnsi="Arial" w:cs="Arial"/>
          <w:sz w:val="20"/>
          <w:szCs w:val="20"/>
        </w:rPr>
        <w:t>s</w:t>
      </w:r>
      <w:r w:rsidR="00A172F4">
        <w:rPr>
          <w:rFonts w:ascii="Arial" w:hAnsi="Arial" w:cs="Arial"/>
          <w:sz w:val="20"/>
          <w:szCs w:val="20"/>
        </w:rPr>
        <w:t>. Bands shown in F</w:t>
      </w:r>
      <w:r w:rsidRPr="002F1564">
        <w:rPr>
          <w:rFonts w:ascii="Arial" w:hAnsi="Arial" w:cs="Arial"/>
          <w:sz w:val="20"/>
          <w:szCs w:val="20"/>
        </w:rPr>
        <w:t xml:space="preserve">igure 2 were quantified </w:t>
      </w:r>
      <w:proofErr w:type="spellStart"/>
      <w:r w:rsidRPr="002F1564">
        <w:rPr>
          <w:rFonts w:ascii="Arial" w:hAnsi="Arial" w:cs="Arial"/>
          <w:sz w:val="20"/>
          <w:szCs w:val="20"/>
        </w:rPr>
        <w:t>densitometrically</w:t>
      </w:r>
      <w:proofErr w:type="spellEnd"/>
      <w:r w:rsidRPr="002F1564">
        <w:rPr>
          <w:rFonts w:ascii="Arial" w:hAnsi="Arial" w:cs="Arial"/>
          <w:sz w:val="20"/>
          <w:szCs w:val="20"/>
        </w:rPr>
        <w:t>. Monotherapies tend to have only limited effect on phosphorylation of the analyzed kinases, whereas the ODC is most effective in inhibiting MAPK (ERK1/2) phosphorylation. A notable exception is 786-O where the ODC does not impact the phosphorylation of AKT and MAPK.</w:t>
      </w:r>
    </w:p>
    <w:p w:rsidR="00E44512" w:rsidRDefault="00E44512" w:rsidP="00945FA0">
      <w:pPr>
        <w:spacing w:after="0" w:line="480" w:lineRule="auto"/>
        <w:rPr>
          <w:rFonts w:ascii="Arial" w:hAnsi="Arial" w:cs="Arial"/>
          <w:b/>
          <w:sz w:val="20"/>
          <w:szCs w:val="20"/>
        </w:rPr>
      </w:pPr>
    </w:p>
    <w:p w:rsidR="00E44512" w:rsidRDefault="00E44512" w:rsidP="00945FA0">
      <w:pPr>
        <w:spacing w:after="0" w:line="480" w:lineRule="auto"/>
        <w:rPr>
          <w:rFonts w:ascii="Arial" w:hAnsi="Arial" w:cs="Arial"/>
          <w:b/>
          <w:sz w:val="20"/>
          <w:szCs w:val="20"/>
        </w:rPr>
      </w:pPr>
    </w:p>
    <w:p w:rsidR="005A5766" w:rsidRPr="00D44025" w:rsidRDefault="005A5766" w:rsidP="00945FA0">
      <w:pPr>
        <w:spacing w:after="0" w:line="480" w:lineRule="auto"/>
        <w:rPr>
          <w:rFonts w:ascii="Arial" w:hAnsi="Arial" w:cs="Arial"/>
          <w:b/>
          <w:sz w:val="20"/>
          <w:szCs w:val="20"/>
          <w:u w:val="single"/>
        </w:rPr>
      </w:pPr>
      <w:r w:rsidRPr="00D44025">
        <w:rPr>
          <w:rFonts w:ascii="Arial" w:hAnsi="Arial" w:cs="Arial"/>
          <w:b/>
          <w:sz w:val="20"/>
          <w:szCs w:val="20"/>
          <w:u w:val="single"/>
        </w:rPr>
        <w:t xml:space="preserve">Supplement 3: </w:t>
      </w:r>
      <w:proofErr w:type="spellStart"/>
      <w:r w:rsidRPr="00D44025">
        <w:rPr>
          <w:rFonts w:ascii="Arial" w:hAnsi="Arial" w:cs="Arial"/>
          <w:b/>
          <w:sz w:val="20"/>
          <w:szCs w:val="20"/>
          <w:u w:val="single"/>
        </w:rPr>
        <w:t>Phosphoproteomics</w:t>
      </w:r>
      <w:proofErr w:type="spellEnd"/>
      <w:r w:rsidRPr="00D44025">
        <w:rPr>
          <w:rFonts w:ascii="Arial" w:hAnsi="Arial" w:cs="Arial"/>
          <w:b/>
          <w:sz w:val="20"/>
          <w:szCs w:val="20"/>
          <w:u w:val="single"/>
        </w:rPr>
        <w:t xml:space="preserve"> analysis of RCC lines</w:t>
      </w: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S3.1</w:t>
      </w:r>
      <w:r w:rsidR="00F512B7">
        <w:rPr>
          <w:rFonts w:ascii="Arial" w:hAnsi="Arial" w:cs="Arial"/>
          <w:b/>
          <w:sz w:val="20"/>
          <w:szCs w:val="20"/>
        </w:rPr>
        <w:t>.1</w:t>
      </w:r>
      <w:r w:rsidRPr="005A5766">
        <w:rPr>
          <w:rFonts w:ascii="Arial" w:hAnsi="Arial" w:cs="Arial"/>
          <w:b/>
          <w:sz w:val="20"/>
          <w:szCs w:val="20"/>
        </w:rPr>
        <w:t xml:space="preserve"> Duplicate INKA analysis of RCC lines</w:t>
      </w:r>
    </w:p>
    <w:p w:rsidR="005A5766" w:rsidRDefault="005A5766" w:rsidP="00945FA0">
      <w:pPr>
        <w:spacing w:line="480" w:lineRule="auto"/>
        <w:rPr>
          <w:rFonts w:ascii="Arial" w:hAnsi="Arial" w:cs="Arial"/>
          <w:sz w:val="20"/>
          <w:szCs w:val="20"/>
        </w:rPr>
      </w:pPr>
      <w:r w:rsidRPr="005A5766">
        <w:rPr>
          <w:rFonts w:ascii="Arial" w:hAnsi="Arial" w:cs="Arial"/>
          <w:sz w:val="20"/>
          <w:szCs w:val="20"/>
        </w:rPr>
        <w:t xml:space="preserve">INKA ranking plots of duplicate samples for all RCC lines. Kinases targeted by drugs in the ODC are color-coded according to their respective legends. </w:t>
      </w:r>
    </w:p>
    <w:p w:rsidR="005A5766" w:rsidRDefault="00F512B7" w:rsidP="00945FA0">
      <w:pPr>
        <w:spacing w:after="0" w:line="480" w:lineRule="auto"/>
        <w:rPr>
          <w:rFonts w:ascii="Arial" w:hAnsi="Arial" w:cs="Arial"/>
          <w:b/>
          <w:sz w:val="20"/>
          <w:szCs w:val="20"/>
        </w:rPr>
      </w:pPr>
      <w:r>
        <w:rPr>
          <w:rFonts w:ascii="Arial" w:hAnsi="Arial" w:cs="Arial"/>
          <w:b/>
          <w:sz w:val="20"/>
          <w:szCs w:val="20"/>
        </w:rPr>
        <w:lastRenderedPageBreak/>
        <w:t>Figure S3.1.2 Overlap of top 20 INKA kinases in 5 RCC lines</w:t>
      </w:r>
    </w:p>
    <w:p w:rsidR="00F512B7" w:rsidRPr="00F512B7" w:rsidRDefault="00D7651E" w:rsidP="00945FA0">
      <w:pPr>
        <w:spacing w:after="0" w:line="480" w:lineRule="auto"/>
        <w:rPr>
          <w:rFonts w:ascii="Arial" w:hAnsi="Arial" w:cs="Arial"/>
          <w:sz w:val="20"/>
          <w:szCs w:val="20"/>
        </w:rPr>
      </w:pPr>
      <w:r>
        <w:rPr>
          <w:rFonts w:ascii="Arial" w:hAnsi="Arial" w:cs="Arial"/>
          <w:sz w:val="20"/>
          <w:szCs w:val="20"/>
        </w:rPr>
        <w:t xml:space="preserve">Top 20 kinases from the INKA analysis were derived from the average scores per cell line. Venn diagram shows that 14 are commonly present in this top 20, and that 8 more are present in the top 20 of 2 or more cell lines. </w:t>
      </w:r>
      <w:r w:rsidR="003E6A99">
        <w:rPr>
          <w:rFonts w:ascii="Arial" w:hAnsi="Arial" w:cs="Arial"/>
          <w:sz w:val="20"/>
          <w:szCs w:val="20"/>
        </w:rPr>
        <w:t xml:space="preserve">Protein-protein interaction analysis shows the close interconnectivity of these kinases. </w:t>
      </w:r>
    </w:p>
    <w:p w:rsidR="005A5766" w:rsidRPr="005A5766" w:rsidRDefault="005A5766" w:rsidP="00945FA0">
      <w:pPr>
        <w:spacing w:after="0" w:line="480" w:lineRule="auto"/>
        <w:rPr>
          <w:rFonts w:ascii="Arial" w:hAnsi="Arial" w:cs="Arial"/>
          <w:sz w:val="20"/>
          <w:szCs w:val="20"/>
        </w:rPr>
      </w:pP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S3.2.1-5 INKA network plots of RCC lines</w:t>
      </w:r>
    </w:p>
    <w:p w:rsidR="005A5766" w:rsidRPr="005A5766" w:rsidRDefault="005A5766" w:rsidP="00945FA0">
      <w:pPr>
        <w:spacing w:after="0" w:line="480" w:lineRule="auto"/>
        <w:rPr>
          <w:rFonts w:ascii="Arial" w:hAnsi="Arial" w:cs="Arial"/>
          <w:sz w:val="20"/>
          <w:szCs w:val="20"/>
        </w:rPr>
      </w:pPr>
      <w:r w:rsidRPr="005A5766">
        <w:rPr>
          <w:rFonts w:ascii="Arial" w:hAnsi="Arial" w:cs="Arial"/>
          <w:sz w:val="20"/>
          <w:szCs w:val="20"/>
        </w:rPr>
        <w:t>Kinase-substrate relationship of top 20 INKA kinases and their observed substrates</w:t>
      </w:r>
      <w:r w:rsidR="003E6A99">
        <w:rPr>
          <w:rFonts w:ascii="Arial" w:hAnsi="Arial" w:cs="Arial"/>
          <w:sz w:val="20"/>
          <w:szCs w:val="20"/>
        </w:rPr>
        <w:t xml:space="preserve"> in duplicate samples</w:t>
      </w:r>
      <w:r w:rsidRPr="005A5766">
        <w:rPr>
          <w:rFonts w:ascii="Arial" w:hAnsi="Arial" w:cs="Arial"/>
          <w:sz w:val="20"/>
          <w:szCs w:val="20"/>
        </w:rPr>
        <w:t xml:space="preserve">. Nodes are color-coded for targeting by drugs in the ODC. Drug targets are shaped according to INKA evidence. </w:t>
      </w:r>
      <w:r w:rsidRPr="005A5766">
        <w:rPr>
          <w:rFonts w:ascii="Arial" w:hAnsi="Arial" w:cs="Arial"/>
          <w:color w:val="333333"/>
          <w:sz w:val="20"/>
          <w:szCs w:val="20"/>
          <w:shd w:val="clear" w:color="auto" w:fill="FFFFFF"/>
        </w:rPr>
        <w:t xml:space="preserve">Nodes are depicted as a hexagon (observed kinases, identified through one or more </w:t>
      </w:r>
      <w:proofErr w:type="spellStart"/>
      <w:r w:rsidRPr="005A5766">
        <w:rPr>
          <w:rFonts w:ascii="Arial" w:hAnsi="Arial" w:cs="Arial"/>
          <w:color w:val="333333"/>
          <w:sz w:val="20"/>
          <w:szCs w:val="20"/>
          <w:shd w:val="clear" w:color="auto" w:fill="FFFFFF"/>
        </w:rPr>
        <w:t>phosphopeptides</w:t>
      </w:r>
      <w:proofErr w:type="spellEnd"/>
      <w:r w:rsidRPr="005A5766">
        <w:rPr>
          <w:rFonts w:ascii="Arial" w:hAnsi="Arial" w:cs="Arial"/>
          <w:color w:val="333333"/>
          <w:sz w:val="20"/>
          <w:szCs w:val="20"/>
          <w:shd w:val="clear" w:color="auto" w:fill="FFFFFF"/>
        </w:rPr>
        <w:t xml:space="preserve">), a pentagon (inferred kinases lacking direct observation, but linked to phosphorylation of one or more observed </w:t>
      </w:r>
      <w:proofErr w:type="spellStart"/>
      <w:r w:rsidRPr="005A5766">
        <w:rPr>
          <w:rFonts w:ascii="Arial" w:hAnsi="Arial" w:cs="Arial"/>
          <w:color w:val="333333"/>
          <w:sz w:val="20"/>
          <w:szCs w:val="20"/>
          <w:shd w:val="clear" w:color="auto" w:fill="FFFFFF"/>
        </w:rPr>
        <w:t>phosphopeptides</w:t>
      </w:r>
      <w:proofErr w:type="spellEnd"/>
      <w:r w:rsidRPr="005A5766">
        <w:rPr>
          <w:rFonts w:ascii="Arial" w:hAnsi="Arial" w:cs="Arial"/>
          <w:color w:val="333333"/>
          <w:sz w:val="20"/>
          <w:szCs w:val="20"/>
          <w:shd w:val="clear" w:color="auto" w:fill="FFFFFF"/>
        </w:rPr>
        <w:t>), or as a circle (non</w:t>
      </w:r>
      <w:r w:rsidRPr="005A5766">
        <w:rPr>
          <w:rFonts w:ascii="Cambria Math" w:hAnsi="Cambria Math" w:cs="Cambria Math"/>
          <w:color w:val="333333"/>
          <w:sz w:val="20"/>
          <w:szCs w:val="20"/>
          <w:shd w:val="clear" w:color="auto" w:fill="FFFFFF"/>
        </w:rPr>
        <w:t>‐</w:t>
      </w:r>
      <w:r w:rsidRPr="005A5766">
        <w:rPr>
          <w:rFonts w:ascii="Arial" w:hAnsi="Arial" w:cs="Arial"/>
          <w:color w:val="333333"/>
          <w:sz w:val="20"/>
          <w:szCs w:val="20"/>
          <w:shd w:val="clear" w:color="auto" w:fill="FFFFFF"/>
        </w:rPr>
        <w:t>kinase substrates).</w:t>
      </w:r>
      <w:r w:rsidRPr="005A5766">
        <w:rPr>
          <w:rFonts w:ascii="Arial" w:hAnsi="Arial" w:cs="Arial"/>
          <w:sz w:val="20"/>
          <w:szCs w:val="20"/>
        </w:rPr>
        <w:t xml:space="preserve"> </w:t>
      </w:r>
      <w:r w:rsidRPr="005A5766">
        <w:rPr>
          <w:rFonts w:ascii="Arial" w:hAnsi="Arial" w:cs="Arial"/>
          <w:color w:val="333333"/>
          <w:sz w:val="20"/>
          <w:szCs w:val="20"/>
          <w:shd w:val="clear" w:color="auto" w:fill="FFFFFF"/>
        </w:rPr>
        <w:t>Edge widths correlate with the associated substrate site “</w:t>
      </w:r>
      <w:proofErr w:type="spellStart"/>
      <w:r w:rsidRPr="005A5766">
        <w:rPr>
          <w:rFonts w:ascii="Arial" w:hAnsi="Arial" w:cs="Arial"/>
          <w:color w:val="333333"/>
          <w:sz w:val="20"/>
          <w:szCs w:val="20"/>
          <w:shd w:val="clear" w:color="auto" w:fill="FFFFFF"/>
        </w:rPr>
        <w:t>phosphosignal</w:t>
      </w:r>
      <w:proofErr w:type="spellEnd"/>
      <w:r w:rsidRPr="005A5766">
        <w:rPr>
          <w:rFonts w:ascii="Arial" w:hAnsi="Arial" w:cs="Arial"/>
          <w:color w:val="333333"/>
          <w:sz w:val="20"/>
          <w:szCs w:val="20"/>
          <w:shd w:val="clear" w:color="auto" w:fill="FFFFFF"/>
        </w:rPr>
        <w:t>”, and edge colors indicate the analysis on which the kinase–substrate relationship was based (orange: PSP, blue: NWK, green: both)</w:t>
      </w:r>
      <w:r w:rsidR="003C6BF9">
        <w:rPr>
          <w:rFonts w:ascii="Arial" w:hAnsi="Arial" w:cs="Arial"/>
          <w:color w:val="333333"/>
          <w:sz w:val="20"/>
          <w:szCs w:val="20"/>
          <w:shd w:val="clear" w:color="auto" w:fill="FFFFFF"/>
        </w:rPr>
        <w:t>.</w:t>
      </w:r>
      <w:r w:rsidRPr="005A5766">
        <w:rPr>
          <w:rFonts w:ascii="Arial" w:hAnsi="Arial" w:cs="Arial"/>
          <w:sz w:val="20"/>
          <w:szCs w:val="20"/>
        </w:rPr>
        <w:t xml:space="preserve"> </w:t>
      </w:r>
    </w:p>
    <w:p w:rsidR="005A5766" w:rsidRPr="005A5766" w:rsidRDefault="005A5766" w:rsidP="00945FA0">
      <w:pPr>
        <w:spacing w:after="0" w:line="480" w:lineRule="auto"/>
        <w:rPr>
          <w:rFonts w:ascii="Arial" w:hAnsi="Arial" w:cs="Arial"/>
          <w:sz w:val="20"/>
          <w:szCs w:val="20"/>
        </w:rPr>
      </w:pPr>
    </w:p>
    <w:p w:rsidR="005A5766" w:rsidRPr="005A5766" w:rsidRDefault="005A5766" w:rsidP="00945FA0">
      <w:pPr>
        <w:spacing w:after="0" w:line="480" w:lineRule="auto"/>
        <w:rPr>
          <w:rFonts w:ascii="Arial" w:hAnsi="Arial" w:cs="Arial"/>
          <w:sz w:val="20"/>
          <w:szCs w:val="20"/>
        </w:rPr>
      </w:pPr>
    </w:p>
    <w:p w:rsidR="005A5766" w:rsidRPr="00D44025" w:rsidRDefault="005A5766" w:rsidP="00945FA0">
      <w:pPr>
        <w:spacing w:after="0" w:line="480" w:lineRule="auto"/>
        <w:rPr>
          <w:rFonts w:ascii="Arial" w:hAnsi="Arial" w:cs="Arial"/>
          <w:b/>
          <w:sz w:val="20"/>
          <w:szCs w:val="20"/>
          <w:u w:val="single"/>
        </w:rPr>
      </w:pPr>
      <w:r w:rsidRPr="00D44025">
        <w:rPr>
          <w:rFonts w:ascii="Arial" w:hAnsi="Arial" w:cs="Arial"/>
          <w:b/>
          <w:sz w:val="20"/>
          <w:szCs w:val="20"/>
          <w:u w:val="single"/>
        </w:rPr>
        <w:t xml:space="preserve">Supplement 4: A </w:t>
      </w:r>
      <w:r w:rsidR="00E44512" w:rsidRPr="00D44025">
        <w:rPr>
          <w:rFonts w:ascii="Arial" w:hAnsi="Arial" w:cs="Arial"/>
          <w:b/>
          <w:sz w:val="20"/>
          <w:szCs w:val="20"/>
          <w:u w:val="single"/>
        </w:rPr>
        <w:t xml:space="preserve">universal </w:t>
      </w:r>
      <w:r w:rsidRPr="00D44025">
        <w:rPr>
          <w:rFonts w:ascii="Arial" w:hAnsi="Arial" w:cs="Arial"/>
          <w:b/>
          <w:sz w:val="20"/>
          <w:szCs w:val="20"/>
          <w:u w:val="single"/>
        </w:rPr>
        <w:t>ODC for RCC lines</w:t>
      </w: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S4.1.1-2 Protein drug interaction maps</w:t>
      </w:r>
    </w:p>
    <w:p w:rsidR="005A5766" w:rsidRPr="005A5766" w:rsidRDefault="005A5766" w:rsidP="00945FA0">
      <w:pPr>
        <w:spacing w:after="0" w:line="480" w:lineRule="auto"/>
        <w:rPr>
          <w:rFonts w:ascii="Arial" w:hAnsi="Arial" w:cs="Arial"/>
          <w:sz w:val="20"/>
          <w:szCs w:val="20"/>
        </w:rPr>
      </w:pPr>
      <w:r w:rsidRPr="005A5766">
        <w:rPr>
          <w:rFonts w:ascii="Arial" w:hAnsi="Arial" w:cs="Arial"/>
          <w:sz w:val="20"/>
          <w:szCs w:val="20"/>
        </w:rPr>
        <w:t>Protein drug interaction maps (</w:t>
      </w:r>
      <w:hyperlink r:id="rId11" w:history="1">
        <w:r w:rsidRPr="005A5766">
          <w:rPr>
            <w:rStyle w:val="Hyperlink"/>
            <w:rFonts w:ascii="Arial" w:hAnsi="Arial" w:cs="Arial"/>
            <w:sz w:val="20"/>
            <w:szCs w:val="20"/>
          </w:rPr>
          <w:t>www.proteomicsdb.org</w:t>
        </w:r>
      </w:hyperlink>
      <w:r w:rsidRPr="005A5766">
        <w:rPr>
          <w:rFonts w:ascii="Arial" w:hAnsi="Arial" w:cs="Arial"/>
          <w:sz w:val="20"/>
          <w:szCs w:val="20"/>
        </w:rPr>
        <w:t xml:space="preserve">) using the median concentrations of the 4 drugs presented in </w:t>
      </w:r>
      <w:r w:rsidR="00E44512">
        <w:rPr>
          <w:rFonts w:ascii="Arial" w:hAnsi="Arial" w:cs="Arial"/>
          <w:sz w:val="20"/>
          <w:szCs w:val="20"/>
        </w:rPr>
        <w:t>T</w:t>
      </w:r>
      <w:r w:rsidRPr="005A5766">
        <w:rPr>
          <w:rFonts w:ascii="Arial" w:hAnsi="Arial" w:cs="Arial"/>
          <w:sz w:val="20"/>
          <w:szCs w:val="20"/>
        </w:rPr>
        <w:t>able S4.1. Combinations of 3 and 4 drugs are shown, and reveal a number of multitargeted kinases. Protein kinase targets (nodes) exceeding default effective inhibition &gt;33% are colored in blue and have dark grey edges. Thickness of the edges is proportional to the reported EC50 of the drug-kinase interaction.</w:t>
      </w:r>
      <w:r w:rsidRPr="005A5766">
        <w:rPr>
          <w:rFonts w:ascii="Arial" w:hAnsi="Arial" w:cs="Arial"/>
          <w:sz w:val="20"/>
          <w:szCs w:val="20"/>
        </w:rPr>
        <w:br/>
      </w:r>
    </w:p>
    <w:p w:rsidR="005A5766" w:rsidRPr="005A5766" w:rsidRDefault="005A5766" w:rsidP="00945FA0">
      <w:pPr>
        <w:spacing w:after="0" w:line="480" w:lineRule="auto"/>
        <w:rPr>
          <w:rFonts w:ascii="Arial" w:hAnsi="Arial" w:cs="Arial"/>
          <w:sz w:val="20"/>
          <w:szCs w:val="20"/>
        </w:rPr>
      </w:pPr>
    </w:p>
    <w:p w:rsidR="005A5766" w:rsidRPr="00D44025" w:rsidRDefault="005A5766" w:rsidP="00945FA0">
      <w:pPr>
        <w:spacing w:after="0" w:line="480" w:lineRule="auto"/>
        <w:rPr>
          <w:rFonts w:ascii="Arial" w:hAnsi="Arial" w:cs="Arial"/>
          <w:b/>
          <w:sz w:val="20"/>
          <w:szCs w:val="20"/>
          <w:u w:val="single"/>
        </w:rPr>
      </w:pPr>
      <w:r w:rsidRPr="00D44025">
        <w:rPr>
          <w:rFonts w:ascii="Arial" w:hAnsi="Arial" w:cs="Arial"/>
          <w:b/>
          <w:sz w:val="20"/>
          <w:szCs w:val="20"/>
          <w:u w:val="single"/>
        </w:rPr>
        <w:t>Supplement 5: Phosphokinase alterations in 786-O after ODC</w:t>
      </w: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S5.1.1 Phosphokinases (</w:t>
      </w:r>
      <w:proofErr w:type="spellStart"/>
      <w:r w:rsidRPr="005A5766">
        <w:rPr>
          <w:rFonts w:ascii="Arial" w:hAnsi="Arial" w:cs="Arial"/>
          <w:b/>
          <w:sz w:val="20"/>
          <w:szCs w:val="20"/>
        </w:rPr>
        <w:t>pTyr</w:t>
      </w:r>
      <w:proofErr w:type="spellEnd"/>
      <w:r w:rsidRPr="005A5766">
        <w:rPr>
          <w:rFonts w:ascii="Arial" w:hAnsi="Arial" w:cs="Arial"/>
          <w:b/>
          <w:sz w:val="20"/>
          <w:szCs w:val="20"/>
        </w:rPr>
        <w:t>) downregulated after ODC</w:t>
      </w:r>
    </w:p>
    <w:p w:rsidR="005A5766" w:rsidRPr="005A5766" w:rsidRDefault="005A5766" w:rsidP="00945FA0">
      <w:pPr>
        <w:spacing w:after="0" w:line="480" w:lineRule="auto"/>
        <w:rPr>
          <w:rFonts w:ascii="Arial" w:hAnsi="Arial" w:cs="Arial"/>
          <w:sz w:val="20"/>
          <w:szCs w:val="20"/>
        </w:rPr>
      </w:pPr>
      <w:r w:rsidRPr="005A5766">
        <w:rPr>
          <w:rFonts w:ascii="Arial" w:hAnsi="Arial" w:cs="Arial"/>
          <w:sz w:val="20"/>
          <w:szCs w:val="20"/>
        </w:rPr>
        <w:t xml:space="preserve">A) </w:t>
      </w:r>
      <w:proofErr w:type="spellStart"/>
      <w:r w:rsidRPr="005A5766">
        <w:rPr>
          <w:rFonts w:ascii="Arial" w:hAnsi="Arial" w:cs="Arial"/>
          <w:sz w:val="20"/>
          <w:szCs w:val="20"/>
        </w:rPr>
        <w:t>Phosphoproteomics</w:t>
      </w:r>
      <w:proofErr w:type="spellEnd"/>
      <w:r w:rsidRPr="005A5766">
        <w:rPr>
          <w:rFonts w:ascii="Arial" w:hAnsi="Arial" w:cs="Arial"/>
          <w:sz w:val="20"/>
          <w:szCs w:val="20"/>
        </w:rPr>
        <w:t xml:space="preserve"> analysis was performed on </w:t>
      </w:r>
      <w:proofErr w:type="spellStart"/>
      <w:r w:rsidRPr="005A5766">
        <w:rPr>
          <w:rFonts w:ascii="Arial" w:hAnsi="Arial" w:cs="Arial"/>
          <w:sz w:val="20"/>
          <w:szCs w:val="20"/>
        </w:rPr>
        <w:t>pTyr-IP’ed</w:t>
      </w:r>
      <w:proofErr w:type="spellEnd"/>
      <w:r w:rsidRPr="005A5766">
        <w:rPr>
          <w:rFonts w:ascii="Arial" w:hAnsi="Arial" w:cs="Arial"/>
          <w:sz w:val="20"/>
          <w:szCs w:val="20"/>
        </w:rPr>
        <w:t xml:space="preserve"> proteins from 786-O treated with the different monotherapies (dasatinib 150nM, erlotinib 10uM, axitinib 7.5uM), ODC, or left untreated for 2 </w:t>
      </w:r>
      <w:r w:rsidRPr="005A5766">
        <w:rPr>
          <w:rFonts w:ascii="Arial" w:hAnsi="Arial" w:cs="Arial"/>
          <w:sz w:val="20"/>
          <w:szCs w:val="20"/>
        </w:rPr>
        <w:lastRenderedPageBreak/>
        <w:t xml:space="preserve">hours. </w:t>
      </w:r>
      <w:proofErr w:type="spellStart"/>
      <w:r w:rsidRPr="005A5766">
        <w:rPr>
          <w:rFonts w:ascii="Arial" w:hAnsi="Arial" w:cs="Arial"/>
          <w:sz w:val="20"/>
          <w:szCs w:val="20"/>
        </w:rPr>
        <w:t>Phosphopeptides</w:t>
      </w:r>
      <w:proofErr w:type="spellEnd"/>
      <w:r w:rsidRPr="005A5766">
        <w:rPr>
          <w:rFonts w:ascii="Arial" w:hAnsi="Arial" w:cs="Arial"/>
          <w:sz w:val="20"/>
          <w:szCs w:val="20"/>
        </w:rPr>
        <w:t xml:space="preserve"> were assembled to </w:t>
      </w:r>
      <w:proofErr w:type="spellStart"/>
      <w:r w:rsidRPr="005A5766">
        <w:rPr>
          <w:rFonts w:ascii="Arial" w:hAnsi="Arial" w:cs="Arial"/>
          <w:sz w:val="20"/>
          <w:szCs w:val="20"/>
        </w:rPr>
        <w:t>phosphogenes</w:t>
      </w:r>
      <w:proofErr w:type="spellEnd"/>
      <w:r w:rsidRPr="005A5766">
        <w:rPr>
          <w:rFonts w:ascii="Arial" w:hAnsi="Arial" w:cs="Arial"/>
          <w:sz w:val="20"/>
          <w:szCs w:val="20"/>
        </w:rPr>
        <w:t xml:space="preserve"> and subsequently phosphorylated kinases as described in the materials and methods section. Normalized spectral counts were used as quantifiers and kinases showing &gt;1.6 fold downregulation following ODC were counted in the replicate experiments. 21 phosphokinases were </w:t>
      </w:r>
      <w:r w:rsidR="000B2F28">
        <w:rPr>
          <w:rFonts w:ascii="Arial" w:hAnsi="Arial" w:cs="Arial"/>
          <w:sz w:val="20"/>
          <w:szCs w:val="20"/>
        </w:rPr>
        <w:t>consistently downregulated. B) Average n</w:t>
      </w:r>
      <w:r w:rsidRPr="005A5766">
        <w:rPr>
          <w:rFonts w:ascii="Arial" w:hAnsi="Arial" w:cs="Arial"/>
          <w:sz w:val="20"/>
          <w:szCs w:val="20"/>
        </w:rPr>
        <w:t xml:space="preserve">ormalized spectral counts of phosphorylated kinases consistently inhibited by the ODC. Due to ambiguity in </w:t>
      </w:r>
      <w:proofErr w:type="spellStart"/>
      <w:r w:rsidRPr="005A5766">
        <w:rPr>
          <w:rFonts w:ascii="Arial" w:hAnsi="Arial" w:cs="Arial"/>
          <w:sz w:val="20"/>
          <w:szCs w:val="20"/>
        </w:rPr>
        <w:t>phosphopeptide</w:t>
      </w:r>
      <w:proofErr w:type="spellEnd"/>
      <w:r w:rsidRPr="005A5766">
        <w:rPr>
          <w:rFonts w:ascii="Arial" w:hAnsi="Arial" w:cs="Arial"/>
          <w:sz w:val="20"/>
          <w:szCs w:val="20"/>
        </w:rPr>
        <w:t xml:space="preserve"> identification, multiple protein identifiers are mentioned for several of the hits. Most notable are the MAPK family, SRC family, ABL family and EPHA family kinases.</w:t>
      </w:r>
      <w:r w:rsidR="00757A3A">
        <w:rPr>
          <w:rFonts w:ascii="Arial" w:hAnsi="Arial" w:cs="Arial"/>
          <w:sz w:val="20"/>
          <w:szCs w:val="20"/>
        </w:rPr>
        <w:t xml:space="preserve"> C) Protein-protein interaction network of the ODC inhibited kinases shows intricate interactions between them. Color intensity of the nodes is proportional to expression level.</w:t>
      </w:r>
    </w:p>
    <w:p w:rsidR="005A5766" w:rsidRPr="005A5766" w:rsidRDefault="005A5766" w:rsidP="00945FA0">
      <w:pPr>
        <w:spacing w:after="0" w:line="480" w:lineRule="auto"/>
        <w:rPr>
          <w:rFonts w:ascii="Arial" w:hAnsi="Arial" w:cs="Arial"/>
          <w:b/>
          <w:sz w:val="20"/>
          <w:szCs w:val="20"/>
        </w:rPr>
      </w:pP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S5.1.2 Phosphokinases (</w:t>
      </w:r>
      <w:proofErr w:type="spellStart"/>
      <w:r w:rsidRPr="005A5766">
        <w:rPr>
          <w:rFonts w:ascii="Arial" w:hAnsi="Arial" w:cs="Arial"/>
          <w:b/>
          <w:sz w:val="20"/>
          <w:szCs w:val="20"/>
        </w:rPr>
        <w:t>pTyr</w:t>
      </w:r>
      <w:proofErr w:type="spellEnd"/>
      <w:r w:rsidRPr="005A5766">
        <w:rPr>
          <w:rFonts w:ascii="Arial" w:hAnsi="Arial" w:cs="Arial"/>
          <w:b/>
          <w:sz w:val="20"/>
          <w:szCs w:val="20"/>
        </w:rPr>
        <w:t>) upregulated after ODC</w:t>
      </w:r>
    </w:p>
    <w:p w:rsidR="00757A3A" w:rsidRPr="005A5766" w:rsidRDefault="005A5766" w:rsidP="00945FA0">
      <w:pPr>
        <w:spacing w:after="0" w:line="480" w:lineRule="auto"/>
        <w:rPr>
          <w:rFonts w:ascii="Arial" w:hAnsi="Arial" w:cs="Arial"/>
          <w:sz w:val="20"/>
          <w:szCs w:val="20"/>
        </w:rPr>
      </w:pPr>
      <w:r w:rsidRPr="005A5766">
        <w:rPr>
          <w:rFonts w:ascii="Arial" w:hAnsi="Arial" w:cs="Arial"/>
          <w:sz w:val="20"/>
          <w:szCs w:val="20"/>
        </w:rPr>
        <w:t xml:space="preserve">A) </w:t>
      </w:r>
      <w:proofErr w:type="spellStart"/>
      <w:r w:rsidRPr="005A5766">
        <w:rPr>
          <w:rFonts w:ascii="Arial" w:hAnsi="Arial" w:cs="Arial"/>
          <w:sz w:val="20"/>
          <w:szCs w:val="20"/>
        </w:rPr>
        <w:t>Phosphoproteomics</w:t>
      </w:r>
      <w:proofErr w:type="spellEnd"/>
      <w:r w:rsidRPr="005A5766">
        <w:rPr>
          <w:rFonts w:ascii="Arial" w:hAnsi="Arial" w:cs="Arial"/>
          <w:sz w:val="20"/>
          <w:szCs w:val="20"/>
        </w:rPr>
        <w:t xml:space="preserve"> analysis was performed on </w:t>
      </w:r>
      <w:proofErr w:type="spellStart"/>
      <w:r w:rsidRPr="005A5766">
        <w:rPr>
          <w:rFonts w:ascii="Arial" w:hAnsi="Arial" w:cs="Arial"/>
          <w:sz w:val="20"/>
          <w:szCs w:val="20"/>
        </w:rPr>
        <w:t>pTyr-IP’ed</w:t>
      </w:r>
      <w:proofErr w:type="spellEnd"/>
      <w:r w:rsidRPr="005A5766">
        <w:rPr>
          <w:rFonts w:ascii="Arial" w:hAnsi="Arial" w:cs="Arial"/>
          <w:sz w:val="20"/>
          <w:szCs w:val="20"/>
        </w:rPr>
        <w:t xml:space="preserve"> proteins from 786-O treated with the different monotherapies (dasatinib 150nM, erlotinib 10uM, axitinib 7.5uM), ODC, or left untreated for 2 hours. </w:t>
      </w:r>
      <w:proofErr w:type="spellStart"/>
      <w:r w:rsidRPr="005A5766">
        <w:rPr>
          <w:rFonts w:ascii="Arial" w:hAnsi="Arial" w:cs="Arial"/>
          <w:sz w:val="20"/>
          <w:szCs w:val="20"/>
        </w:rPr>
        <w:t>Phosphopeptides</w:t>
      </w:r>
      <w:proofErr w:type="spellEnd"/>
      <w:r w:rsidRPr="005A5766">
        <w:rPr>
          <w:rFonts w:ascii="Arial" w:hAnsi="Arial" w:cs="Arial"/>
          <w:sz w:val="20"/>
          <w:szCs w:val="20"/>
        </w:rPr>
        <w:t xml:space="preserve"> were assembled to </w:t>
      </w:r>
      <w:proofErr w:type="spellStart"/>
      <w:r w:rsidRPr="005A5766">
        <w:rPr>
          <w:rFonts w:ascii="Arial" w:hAnsi="Arial" w:cs="Arial"/>
          <w:sz w:val="20"/>
          <w:szCs w:val="20"/>
        </w:rPr>
        <w:t>phosphogenes</w:t>
      </w:r>
      <w:proofErr w:type="spellEnd"/>
      <w:r w:rsidRPr="005A5766">
        <w:rPr>
          <w:rFonts w:ascii="Arial" w:hAnsi="Arial" w:cs="Arial"/>
          <w:sz w:val="20"/>
          <w:szCs w:val="20"/>
        </w:rPr>
        <w:t xml:space="preserve"> and subsequently phosphorylated kinases as described in the materials and methods section. Normalized spectral counts were used as quantifiers and kinases showing &gt;1.3 fold upregulation following ODC were counted in the replicate experiments. 10 phosphokinases wer</w:t>
      </w:r>
      <w:r w:rsidR="000B2F28">
        <w:rPr>
          <w:rFonts w:ascii="Arial" w:hAnsi="Arial" w:cs="Arial"/>
          <w:sz w:val="20"/>
          <w:szCs w:val="20"/>
        </w:rPr>
        <w:t>e consistently upregulated. B) Average n</w:t>
      </w:r>
      <w:r w:rsidRPr="005A5766">
        <w:rPr>
          <w:rFonts w:ascii="Arial" w:hAnsi="Arial" w:cs="Arial"/>
          <w:sz w:val="20"/>
          <w:szCs w:val="20"/>
        </w:rPr>
        <w:t xml:space="preserve">ormalized spectral counts of phosphorylated kinases consistently induced by the ODC. Due to ambiguity in </w:t>
      </w:r>
      <w:proofErr w:type="spellStart"/>
      <w:r w:rsidRPr="005A5766">
        <w:rPr>
          <w:rFonts w:ascii="Arial" w:hAnsi="Arial" w:cs="Arial"/>
          <w:sz w:val="20"/>
          <w:szCs w:val="20"/>
        </w:rPr>
        <w:t>phosphopeptide</w:t>
      </w:r>
      <w:proofErr w:type="spellEnd"/>
      <w:r w:rsidRPr="005A5766">
        <w:rPr>
          <w:rFonts w:ascii="Arial" w:hAnsi="Arial" w:cs="Arial"/>
          <w:sz w:val="20"/>
          <w:szCs w:val="20"/>
        </w:rPr>
        <w:t xml:space="preserve"> identification, multiple protein identifiers are mentioned for several of the hits. Most notable are the CDK family and DYRK family kinases. Induction of putative resistance mediating kinases (JAK, MET, AXL) is also noted. C) Heatmap of induced kinases, showing that kinase alterations are dominantly mediated by dasatinib. </w:t>
      </w:r>
      <w:r w:rsidR="00757A3A">
        <w:rPr>
          <w:rFonts w:ascii="Arial" w:hAnsi="Arial" w:cs="Arial"/>
          <w:sz w:val="20"/>
          <w:szCs w:val="20"/>
        </w:rPr>
        <w:t>D) Protein-protein interaction network of the ODC induced kinases. The MET-JAK2-AXL axis showed significant enrichment for the KEGG pathway “EGFR tyrosine kinase inhibitor resistance” (p=0.00079). Color intensity of the nodes is proportional to expression level.</w:t>
      </w:r>
    </w:p>
    <w:p w:rsidR="005A5766" w:rsidRPr="005A5766" w:rsidRDefault="005A5766" w:rsidP="00945FA0">
      <w:pPr>
        <w:spacing w:after="0" w:line="480" w:lineRule="auto"/>
        <w:rPr>
          <w:rFonts w:ascii="Arial" w:hAnsi="Arial" w:cs="Arial"/>
          <w:b/>
          <w:sz w:val="20"/>
          <w:szCs w:val="20"/>
        </w:rPr>
      </w:pP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S5.2 INKA profiles after monotherapies and ODC in 786-O</w:t>
      </w:r>
    </w:p>
    <w:p w:rsidR="005A5766" w:rsidRPr="005A5766" w:rsidRDefault="005A5766" w:rsidP="00945FA0">
      <w:pPr>
        <w:spacing w:line="480" w:lineRule="auto"/>
        <w:rPr>
          <w:rFonts w:ascii="Arial" w:hAnsi="Arial" w:cs="Arial"/>
          <w:sz w:val="20"/>
          <w:szCs w:val="20"/>
        </w:rPr>
      </w:pPr>
      <w:r w:rsidRPr="005A5766">
        <w:rPr>
          <w:rFonts w:ascii="Arial" w:hAnsi="Arial" w:cs="Arial"/>
          <w:sz w:val="20"/>
          <w:szCs w:val="20"/>
        </w:rPr>
        <w:lastRenderedPageBreak/>
        <w:t xml:space="preserve">INKA ranking plots of duplicate samples for treated and untreated 786-O. Kinases targeted by drugs are color-coded according to their respective legends. For untreated 786-O all drug targets are indicated in their respective colors. These plots allow for the relative ranking of kinases before and after treatment. </w:t>
      </w:r>
    </w:p>
    <w:p w:rsidR="005A5766" w:rsidRPr="005A5766" w:rsidRDefault="005A5766" w:rsidP="00945FA0">
      <w:pPr>
        <w:spacing w:after="0" w:line="480" w:lineRule="auto"/>
        <w:rPr>
          <w:rFonts w:ascii="Arial" w:hAnsi="Arial" w:cs="Arial"/>
          <w:b/>
          <w:sz w:val="20"/>
          <w:szCs w:val="20"/>
        </w:rPr>
      </w:pPr>
      <w:r w:rsidRPr="005A5766">
        <w:rPr>
          <w:rFonts w:ascii="Arial" w:hAnsi="Arial" w:cs="Arial"/>
          <w:b/>
          <w:sz w:val="20"/>
          <w:szCs w:val="20"/>
        </w:rPr>
        <w:t>Figure S5.3.1-5 INKA network plots of monotherapies and ODC in 786-O</w:t>
      </w:r>
    </w:p>
    <w:p w:rsidR="005A5766" w:rsidRPr="005A5766" w:rsidRDefault="005A5766" w:rsidP="00945FA0">
      <w:pPr>
        <w:spacing w:after="0" w:line="480" w:lineRule="auto"/>
        <w:rPr>
          <w:rFonts w:ascii="Arial" w:hAnsi="Arial" w:cs="Arial"/>
          <w:sz w:val="20"/>
          <w:szCs w:val="20"/>
        </w:rPr>
      </w:pPr>
      <w:r w:rsidRPr="005A5766">
        <w:rPr>
          <w:rFonts w:ascii="Arial" w:hAnsi="Arial" w:cs="Arial"/>
          <w:sz w:val="20"/>
          <w:szCs w:val="20"/>
        </w:rPr>
        <w:t>Kinase-substrate relationship of top 20 INKA kinases and their observed substrates</w:t>
      </w:r>
      <w:r w:rsidR="005B27AF">
        <w:rPr>
          <w:rFonts w:ascii="Arial" w:hAnsi="Arial" w:cs="Arial"/>
          <w:sz w:val="20"/>
          <w:szCs w:val="20"/>
        </w:rPr>
        <w:t xml:space="preserve"> in duplicate samples</w:t>
      </w:r>
      <w:r w:rsidRPr="005A5766">
        <w:rPr>
          <w:rFonts w:ascii="Arial" w:hAnsi="Arial" w:cs="Arial"/>
          <w:sz w:val="20"/>
          <w:szCs w:val="20"/>
        </w:rPr>
        <w:t xml:space="preserve">. Nodes are color-coded for targeting by drugs in the ODC. Drug targets are shaped according to INKA evidence. </w:t>
      </w:r>
      <w:r w:rsidRPr="005A5766">
        <w:rPr>
          <w:rFonts w:ascii="Arial" w:hAnsi="Arial" w:cs="Arial"/>
          <w:color w:val="333333"/>
          <w:sz w:val="20"/>
          <w:szCs w:val="20"/>
          <w:shd w:val="clear" w:color="auto" w:fill="FFFFFF"/>
        </w:rPr>
        <w:t xml:space="preserve">Nodes are depicted as a hexagon (observed kinases, identified through one or more </w:t>
      </w:r>
      <w:proofErr w:type="spellStart"/>
      <w:r w:rsidRPr="005A5766">
        <w:rPr>
          <w:rFonts w:ascii="Arial" w:hAnsi="Arial" w:cs="Arial"/>
          <w:color w:val="333333"/>
          <w:sz w:val="20"/>
          <w:szCs w:val="20"/>
          <w:shd w:val="clear" w:color="auto" w:fill="FFFFFF"/>
        </w:rPr>
        <w:t>phosphopeptides</w:t>
      </w:r>
      <w:proofErr w:type="spellEnd"/>
      <w:r w:rsidRPr="005A5766">
        <w:rPr>
          <w:rFonts w:ascii="Arial" w:hAnsi="Arial" w:cs="Arial"/>
          <w:color w:val="333333"/>
          <w:sz w:val="20"/>
          <w:szCs w:val="20"/>
          <w:shd w:val="clear" w:color="auto" w:fill="FFFFFF"/>
        </w:rPr>
        <w:t xml:space="preserve">), a pentagon (inferred kinases lacking direct observation, but linked to phosphorylation of one or more observed </w:t>
      </w:r>
      <w:proofErr w:type="spellStart"/>
      <w:r w:rsidRPr="005A5766">
        <w:rPr>
          <w:rFonts w:ascii="Arial" w:hAnsi="Arial" w:cs="Arial"/>
          <w:color w:val="333333"/>
          <w:sz w:val="20"/>
          <w:szCs w:val="20"/>
          <w:shd w:val="clear" w:color="auto" w:fill="FFFFFF"/>
        </w:rPr>
        <w:t>phosphopeptides</w:t>
      </w:r>
      <w:proofErr w:type="spellEnd"/>
      <w:r w:rsidRPr="005A5766">
        <w:rPr>
          <w:rFonts w:ascii="Arial" w:hAnsi="Arial" w:cs="Arial"/>
          <w:color w:val="333333"/>
          <w:sz w:val="20"/>
          <w:szCs w:val="20"/>
          <w:shd w:val="clear" w:color="auto" w:fill="FFFFFF"/>
        </w:rPr>
        <w:t>), or as a circle (non</w:t>
      </w:r>
      <w:r w:rsidRPr="005A5766">
        <w:rPr>
          <w:rFonts w:ascii="Cambria Math" w:hAnsi="Cambria Math" w:cs="Cambria Math"/>
          <w:color w:val="333333"/>
          <w:sz w:val="20"/>
          <w:szCs w:val="20"/>
          <w:shd w:val="clear" w:color="auto" w:fill="FFFFFF"/>
        </w:rPr>
        <w:t>‐</w:t>
      </w:r>
      <w:r w:rsidRPr="005A5766">
        <w:rPr>
          <w:rFonts w:ascii="Arial" w:hAnsi="Arial" w:cs="Arial"/>
          <w:color w:val="333333"/>
          <w:sz w:val="20"/>
          <w:szCs w:val="20"/>
          <w:shd w:val="clear" w:color="auto" w:fill="FFFFFF"/>
        </w:rPr>
        <w:t>kinase substrates).</w:t>
      </w:r>
      <w:r w:rsidRPr="005A5766">
        <w:rPr>
          <w:rFonts w:ascii="Arial" w:hAnsi="Arial" w:cs="Arial"/>
          <w:sz w:val="20"/>
          <w:szCs w:val="20"/>
        </w:rPr>
        <w:t xml:space="preserve"> </w:t>
      </w:r>
      <w:r w:rsidRPr="005A5766">
        <w:rPr>
          <w:rFonts w:ascii="Arial" w:hAnsi="Arial" w:cs="Arial"/>
          <w:color w:val="333333"/>
          <w:sz w:val="20"/>
          <w:szCs w:val="20"/>
          <w:shd w:val="clear" w:color="auto" w:fill="FFFFFF"/>
        </w:rPr>
        <w:t>Edge widths correlate with the associated substrate site “</w:t>
      </w:r>
      <w:proofErr w:type="spellStart"/>
      <w:r w:rsidRPr="005A5766">
        <w:rPr>
          <w:rFonts w:ascii="Arial" w:hAnsi="Arial" w:cs="Arial"/>
          <w:color w:val="333333"/>
          <w:sz w:val="20"/>
          <w:szCs w:val="20"/>
          <w:shd w:val="clear" w:color="auto" w:fill="FFFFFF"/>
        </w:rPr>
        <w:t>phosphosignal</w:t>
      </w:r>
      <w:proofErr w:type="spellEnd"/>
      <w:r w:rsidRPr="005A5766">
        <w:rPr>
          <w:rFonts w:ascii="Arial" w:hAnsi="Arial" w:cs="Arial"/>
          <w:color w:val="333333"/>
          <w:sz w:val="20"/>
          <w:szCs w:val="20"/>
          <w:shd w:val="clear" w:color="auto" w:fill="FFFFFF"/>
        </w:rPr>
        <w:t>”, and edge colors indicate the analysis on which the kinase–substrate relationship was based (orange: PSP, blue: NWK, green: both).</w:t>
      </w:r>
      <w:r w:rsidRPr="005A5766">
        <w:rPr>
          <w:rFonts w:ascii="Arial" w:hAnsi="Arial" w:cs="Arial"/>
          <w:sz w:val="20"/>
          <w:szCs w:val="20"/>
        </w:rPr>
        <w:t xml:space="preserve"> </w:t>
      </w:r>
    </w:p>
    <w:p w:rsidR="00AD7288" w:rsidRDefault="00AD7288" w:rsidP="00945FA0">
      <w:pPr>
        <w:spacing w:after="0" w:line="480" w:lineRule="auto"/>
        <w:rPr>
          <w:rFonts w:ascii="Arial" w:hAnsi="Arial" w:cs="Arial"/>
          <w:sz w:val="20"/>
          <w:szCs w:val="20"/>
        </w:rPr>
      </w:pPr>
    </w:p>
    <w:p w:rsidR="00E03CDB" w:rsidRDefault="00E03CDB" w:rsidP="00945FA0">
      <w:pPr>
        <w:spacing w:after="0" w:line="480" w:lineRule="auto"/>
        <w:rPr>
          <w:rFonts w:ascii="Arial" w:hAnsi="Arial" w:cs="Arial"/>
          <w:sz w:val="20"/>
          <w:szCs w:val="20"/>
        </w:rPr>
      </w:pPr>
    </w:p>
    <w:p w:rsidR="006D0FA2" w:rsidRPr="00D44025" w:rsidRDefault="005C7376" w:rsidP="00945FA0">
      <w:pPr>
        <w:spacing w:after="0" w:line="480" w:lineRule="auto"/>
        <w:rPr>
          <w:rFonts w:ascii="Arial" w:hAnsi="Arial" w:cs="Arial"/>
          <w:b/>
          <w:sz w:val="20"/>
          <w:szCs w:val="20"/>
          <w:u w:val="single"/>
        </w:rPr>
      </w:pPr>
      <w:r w:rsidRPr="00D44025">
        <w:rPr>
          <w:rFonts w:ascii="Arial" w:hAnsi="Arial" w:cs="Arial"/>
          <w:b/>
          <w:sz w:val="20"/>
          <w:szCs w:val="20"/>
          <w:u w:val="single"/>
        </w:rPr>
        <w:t>Supplem</w:t>
      </w:r>
      <w:r w:rsidR="00D44025" w:rsidRPr="00D44025">
        <w:rPr>
          <w:rFonts w:ascii="Arial" w:hAnsi="Arial" w:cs="Arial"/>
          <w:b/>
          <w:sz w:val="20"/>
          <w:szCs w:val="20"/>
          <w:u w:val="single"/>
        </w:rPr>
        <w:t>ent 6: Effects of addition of</w:t>
      </w:r>
      <w:r w:rsidRPr="00D44025">
        <w:rPr>
          <w:rFonts w:ascii="Arial" w:hAnsi="Arial" w:cs="Arial"/>
          <w:b/>
          <w:sz w:val="20"/>
          <w:szCs w:val="20"/>
          <w:u w:val="single"/>
        </w:rPr>
        <w:t xml:space="preserve"> </w:t>
      </w:r>
      <w:proofErr w:type="spellStart"/>
      <w:r w:rsidRPr="00D44025">
        <w:rPr>
          <w:rFonts w:ascii="Arial" w:hAnsi="Arial" w:cs="Arial"/>
          <w:b/>
          <w:sz w:val="20"/>
          <w:szCs w:val="20"/>
          <w:u w:val="single"/>
        </w:rPr>
        <w:t>crizotinib</w:t>
      </w:r>
      <w:proofErr w:type="spellEnd"/>
      <w:r w:rsidRPr="00D44025">
        <w:rPr>
          <w:rFonts w:ascii="Arial" w:hAnsi="Arial" w:cs="Arial"/>
          <w:b/>
          <w:sz w:val="20"/>
          <w:szCs w:val="20"/>
          <w:u w:val="single"/>
        </w:rPr>
        <w:t xml:space="preserve"> on ODC performance</w:t>
      </w:r>
    </w:p>
    <w:p w:rsidR="006D0FA2" w:rsidRDefault="005C7376" w:rsidP="00945FA0">
      <w:pPr>
        <w:spacing w:after="0" w:line="480" w:lineRule="auto"/>
        <w:rPr>
          <w:rFonts w:ascii="Arial" w:hAnsi="Arial" w:cs="Arial"/>
          <w:b/>
          <w:sz w:val="20"/>
          <w:szCs w:val="20"/>
        </w:rPr>
      </w:pPr>
      <w:r>
        <w:rPr>
          <w:rFonts w:ascii="Arial" w:hAnsi="Arial" w:cs="Arial"/>
          <w:b/>
          <w:sz w:val="20"/>
          <w:szCs w:val="20"/>
        </w:rPr>
        <w:t>Figure S6.1 Protein-drug interaction maps</w:t>
      </w:r>
    </w:p>
    <w:p w:rsidR="005C7376" w:rsidRPr="00E03CDB" w:rsidRDefault="005C7376" w:rsidP="00945FA0">
      <w:pPr>
        <w:spacing w:after="0" w:line="480" w:lineRule="auto"/>
        <w:rPr>
          <w:rFonts w:ascii="Arial" w:hAnsi="Arial" w:cs="Arial"/>
          <w:b/>
          <w:sz w:val="20"/>
          <w:szCs w:val="20"/>
        </w:rPr>
      </w:pPr>
      <w:r w:rsidRPr="005A5766">
        <w:rPr>
          <w:rFonts w:ascii="Arial" w:hAnsi="Arial" w:cs="Arial"/>
          <w:sz w:val="20"/>
          <w:szCs w:val="20"/>
        </w:rPr>
        <w:t>Protein drug interaction maps (</w:t>
      </w:r>
      <w:hyperlink r:id="rId12" w:history="1">
        <w:r w:rsidRPr="005A5766">
          <w:rPr>
            <w:rStyle w:val="Hyperlink"/>
            <w:rFonts w:ascii="Arial" w:hAnsi="Arial" w:cs="Arial"/>
            <w:sz w:val="20"/>
            <w:szCs w:val="20"/>
          </w:rPr>
          <w:t>www.proteomicsdb.org</w:t>
        </w:r>
      </w:hyperlink>
      <w:r w:rsidR="00E66D84">
        <w:rPr>
          <w:rFonts w:ascii="Arial" w:hAnsi="Arial" w:cs="Arial"/>
          <w:sz w:val="20"/>
          <w:szCs w:val="20"/>
        </w:rPr>
        <w:t>)</w:t>
      </w:r>
      <w:r w:rsidRPr="005A5766">
        <w:rPr>
          <w:rFonts w:ascii="Arial" w:hAnsi="Arial" w:cs="Arial"/>
          <w:sz w:val="20"/>
          <w:szCs w:val="20"/>
        </w:rPr>
        <w:t xml:space="preserve"> </w:t>
      </w:r>
      <w:r>
        <w:rPr>
          <w:rFonts w:ascii="Arial" w:hAnsi="Arial" w:cs="Arial"/>
          <w:sz w:val="20"/>
          <w:szCs w:val="20"/>
        </w:rPr>
        <w:t xml:space="preserve">for the combinations of </w:t>
      </w:r>
      <w:proofErr w:type="spellStart"/>
      <w:r>
        <w:rPr>
          <w:rFonts w:ascii="Arial" w:hAnsi="Arial" w:cs="Arial"/>
          <w:sz w:val="20"/>
          <w:szCs w:val="20"/>
        </w:rPr>
        <w:t>erlotinib</w:t>
      </w:r>
      <w:proofErr w:type="spellEnd"/>
      <w:r>
        <w:rPr>
          <w:rFonts w:ascii="Arial" w:hAnsi="Arial" w:cs="Arial"/>
          <w:sz w:val="20"/>
          <w:szCs w:val="20"/>
        </w:rPr>
        <w:t xml:space="preserve">, </w:t>
      </w:r>
      <w:proofErr w:type="spellStart"/>
      <w:r>
        <w:rPr>
          <w:rFonts w:ascii="Arial" w:hAnsi="Arial" w:cs="Arial"/>
          <w:sz w:val="20"/>
          <w:szCs w:val="20"/>
        </w:rPr>
        <w:t>dasatinib</w:t>
      </w:r>
      <w:proofErr w:type="spellEnd"/>
      <w:r>
        <w:rPr>
          <w:rFonts w:ascii="Arial" w:hAnsi="Arial" w:cs="Arial"/>
          <w:sz w:val="20"/>
          <w:szCs w:val="20"/>
        </w:rPr>
        <w:t xml:space="preserve">, </w:t>
      </w:r>
      <w:proofErr w:type="spellStart"/>
      <w:r>
        <w:rPr>
          <w:rFonts w:ascii="Arial" w:hAnsi="Arial" w:cs="Arial"/>
          <w:sz w:val="20"/>
          <w:szCs w:val="20"/>
        </w:rPr>
        <w:t>crizotinib</w:t>
      </w:r>
      <w:proofErr w:type="spellEnd"/>
      <w:r>
        <w:rPr>
          <w:rFonts w:ascii="Arial" w:hAnsi="Arial" w:cs="Arial"/>
          <w:sz w:val="20"/>
          <w:szCs w:val="20"/>
        </w:rPr>
        <w:t xml:space="preserve"> and AZD4547 or axitinib, reveal </w:t>
      </w:r>
      <w:r w:rsidRPr="005A5766">
        <w:rPr>
          <w:rFonts w:ascii="Arial" w:hAnsi="Arial" w:cs="Arial"/>
          <w:sz w:val="20"/>
          <w:szCs w:val="20"/>
        </w:rPr>
        <w:t>a number of multitargeted kinases. Protein kinase targets (nodes) exceeding default effective inhibition &gt;33% are colored in blue and have dark grey edges. Thickness of the edges is proportional to the reported EC50 of the drug-kinase interaction</w:t>
      </w:r>
      <w:r w:rsidR="00E03CDB">
        <w:rPr>
          <w:rFonts w:ascii="Arial" w:hAnsi="Arial" w:cs="Arial"/>
          <w:sz w:val="20"/>
          <w:szCs w:val="20"/>
        </w:rPr>
        <w:t>.</w:t>
      </w:r>
    </w:p>
    <w:p w:rsidR="005C7376" w:rsidRDefault="005C7376" w:rsidP="00945FA0">
      <w:pPr>
        <w:spacing w:after="0" w:line="480" w:lineRule="auto"/>
        <w:rPr>
          <w:rFonts w:ascii="Arial" w:hAnsi="Arial" w:cs="Arial"/>
          <w:b/>
          <w:sz w:val="20"/>
          <w:szCs w:val="20"/>
        </w:rPr>
      </w:pPr>
    </w:p>
    <w:p w:rsidR="005C7376" w:rsidRDefault="005C7376" w:rsidP="00945FA0">
      <w:pPr>
        <w:spacing w:after="0" w:line="480" w:lineRule="auto"/>
        <w:rPr>
          <w:rFonts w:ascii="Arial" w:hAnsi="Arial" w:cs="Arial"/>
          <w:b/>
          <w:sz w:val="20"/>
          <w:szCs w:val="20"/>
        </w:rPr>
      </w:pPr>
      <w:r>
        <w:rPr>
          <w:rFonts w:ascii="Arial" w:hAnsi="Arial" w:cs="Arial"/>
          <w:b/>
          <w:sz w:val="20"/>
          <w:szCs w:val="20"/>
        </w:rPr>
        <w:t xml:space="preserve">Figure S6.2 Limited additional effect of </w:t>
      </w:r>
      <w:proofErr w:type="spellStart"/>
      <w:r>
        <w:rPr>
          <w:rFonts w:ascii="Arial" w:hAnsi="Arial" w:cs="Arial"/>
          <w:b/>
          <w:sz w:val="20"/>
          <w:szCs w:val="20"/>
        </w:rPr>
        <w:t>crizotinib</w:t>
      </w:r>
      <w:proofErr w:type="spellEnd"/>
      <w:r>
        <w:rPr>
          <w:rFonts w:ascii="Arial" w:hAnsi="Arial" w:cs="Arial"/>
          <w:b/>
          <w:sz w:val="20"/>
          <w:szCs w:val="20"/>
        </w:rPr>
        <w:t xml:space="preserve"> addition in 3D cultures</w:t>
      </w:r>
    </w:p>
    <w:p w:rsidR="005C7376" w:rsidRPr="00E03CDB" w:rsidRDefault="00E03CDB" w:rsidP="00945FA0">
      <w:pPr>
        <w:spacing w:after="0" w:line="480" w:lineRule="auto"/>
        <w:rPr>
          <w:rFonts w:ascii="Arial" w:hAnsi="Arial" w:cs="Arial"/>
          <w:sz w:val="20"/>
          <w:szCs w:val="20"/>
        </w:rPr>
      </w:pPr>
      <w:r>
        <w:rPr>
          <w:rFonts w:ascii="Arial" w:hAnsi="Arial" w:cs="Arial"/>
          <w:sz w:val="20"/>
          <w:szCs w:val="20"/>
        </w:rPr>
        <w:t xml:space="preserve">A) </w:t>
      </w:r>
      <w:r w:rsidR="005C7376" w:rsidRPr="00E03CDB">
        <w:rPr>
          <w:rFonts w:ascii="Arial" w:hAnsi="Arial" w:cs="Arial"/>
          <w:sz w:val="20"/>
          <w:szCs w:val="20"/>
        </w:rPr>
        <w:t>2</w:t>
      </w:r>
      <w:r>
        <w:rPr>
          <w:rFonts w:ascii="Arial" w:hAnsi="Arial" w:cs="Arial"/>
          <w:sz w:val="20"/>
          <w:szCs w:val="20"/>
        </w:rPr>
        <w:t>µ</w:t>
      </w:r>
      <w:r w:rsidR="005C7376" w:rsidRPr="00E03CDB">
        <w:rPr>
          <w:rFonts w:ascii="Arial" w:hAnsi="Arial" w:cs="Arial"/>
          <w:sz w:val="20"/>
          <w:szCs w:val="20"/>
        </w:rPr>
        <w:t xml:space="preserve">M </w:t>
      </w:r>
      <w:proofErr w:type="spellStart"/>
      <w:r w:rsidR="005C7376" w:rsidRPr="00E03CDB">
        <w:rPr>
          <w:rFonts w:ascii="Arial" w:hAnsi="Arial" w:cs="Arial"/>
          <w:sz w:val="20"/>
          <w:szCs w:val="20"/>
        </w:rPr>
        <w:t>cri</w:t>
      </w:r>
      <w:r>
        <w:rPr>
          <w:rFonts w:ascii="Arial" w:hAnsi="Arial" w:cs="Arial"/>
          <w:sz w:val="20"/>
          <w:szCs w:val="20"/>
        </w:rPr>
        <w:t>z</w:t>
      </w:r>
      <w:r w:rsidR="005C7376" w:rsidRPr="00E03CDB">
        <w:rPr>
          <w:rFonts w:ascii="Arial" w:hAnsi="Arial" w:cs="Arial"/>
          <w:sz w:val="20"/>
          <w:szCs w:val="20"/>
        </w:rPr>
        <w:t>otinib</w:t>
      </w:r>
      <w:proofErr w:type="spellEnd"/>
      <w:r w:rsidR="005C7376" w:rsidRPr="00E03CDB">
        <w:rPr>
          <w:rFonts w:ascii="Arial" w:hAnsi="Arial" w:cs="Arial"/>
          <w:sz w:val="20"/>
          <w:szCs w:val="20"/>
        </w:rPr>
        <w:t xml:space="preserve"> was selected </w:t>
      </w:r>
      <w:r>
        <w:rPr>
          <w:rFonts w:ascii="Arial" w:hAnsi="Arial" w:cs="Arial"/>
          <w:sz w:val="20"/>
          <w:szCs w:val="20"/>
        </w:rPr>
        <w:t xml:space="preserve">for addition to the ODC. Applied as monotherapy, </w:t>
      </w:r>
      <w:proofErr w:type="spellStart"/>
      <w:r>
        <w:rPr>
          <w:rFonts w:ascii="Arial" w:hAnsi="Arial" w:cs="Arial"/>
          <w:sz w:val="20"/>
          <w:szCs w:val="20"/>
        </w:rPr>
        <w:t>crizotinib</w:t>
      </w:r>
      <w:proofErr w:type="spellEnd"/>
      <w:r w:rsidR="005C7376" w:rsidRPr="00E03CDB">
        <w:rPr>
          <w:rFonts w:ascii="Arial" w:hAnsi="Arial" w:cs="Arial"/>
          <w:sz w:val="20"/>
          <w:szCs w:val="20"/>
        </w:rPr>
        <w:t xml:space="preserve"> displayed </w:t>
      </w:r>
      <w:r>
        <w:rPr>
          <w:rFonts w:ascii="Arial" w:hAnsi="Arial" w:cs="Arial"/>
          <w:sz w:val="20"/>
          <w:szCs w:val="20"/>
        </w:rPr>
        <w:t>&lt;10</w:t>
      </w:r>
      <w:r w:rsidR="005C7376" w:rsidRPr="00E03CDB">
        <w:rPr>
          <w:rFonts w:ascii="Arial" w:hAnsi="Arial" w:cs="Arial"/>
          <w:sz w:val="20"/>
          <w:szCs w:val="20"/>
        </w:rPr>
        <w:t>% inhibitory activity</w:t>
      </w:r>
      <w:r w:rsidR="005C7376">
        <w:rPr>
          <w:rFonts w:ascii="Arial" w:hAnsi="Arial" w:cs="Arial"/>
          <w:sz w:val="20"/>
          <w:szCs w:val="20"/>
        </w:rPr>
        <w:t xml:space="preserve"> in heterotypic 3D cultures</w:t>
      </w:r>
      <w:r w:rsidR="005C7376" w:rsidRPr="00E03CDB">
        <w:rPr>
          <w:rFonts w:ascii="Arial" w:hAnsi="Arial" w:cs="Arial"/>
          <w:sz w:val="20"/>
          <w:szCs w:val="20"/>
        </w:rPr>
        <w:t xml:space="preserve">. When added to the original ODC, </w:t>
      </w:r>
      <w:r w:rsidR="005C7376">
        <w:rPr>
          <w:rFonts w:ascii="Arial" w:hAnsi="Arial" w:cs="Arial"/>
          <w:sz w:val="20"/>
          <w:szCs w:val="20"/>
        </w:rPr>
        <w:t xml:space="preserve">no </w:t>
      </w:r>
      <w:r w:rsidR="005C7376" w:rsidRPr="00E03CDB">
        <w:rPr>
          <w:rFonts w:ascii="Arial" w:hAnsi="Arial" w:cs="Arial"/>
          <w:sz w:val="20"/>
          <w:szCs w:val="20"/>
        </w:rPr>
        <w:t>further inhibition of cell metabolic activity is observed</w:t>
      </w:r>
      <w:r w:rsidR="005C7376">
        <w:rPr>
          <w:rFonts w:ascii="Arial" w:hAnsi="Arial" w:cs="Arial"/>
          <w:sz w:val="20"/>
          <w:szCs w:val="20"/>
        </w:rPr>
        <w:t>, as the ODC displayed more potent inhibitory activity in 3D as compared to 2D in vitro assays.</w:t>
      </w:r>
      <w:r>
        <w:rPr>
          <w:rFonts w:ascii="Arial" w:hAnsi="Arial" w:cs="Arial"/>
          <w:sz w:val="20"/>
          <w:szCs w:val="20"/>
        </w:rPr>
        <w:t xml:space="preserve"> B) Repres</w:t>
      </w:r>
      <w:r w:rsidR="00E66D84">
        <w:rPr>
          <w:rFonts w:ascii="Arial" w:hAnsi="Arial" w:cs="Arial"/>
          <w:sz w:val="20"/>
          <w:szCs w:val="20"/>
        </w:rPr>
        <w:t>entative images of spheroids after treatment.</w:t>
      </w:r>
    </w:p>
    <w:p w:rsidR="005C7376" w:rsidRDefault="005C7376" w:rsidP="00945FA0">
      <w:pPr>
        <w:spacing w:after="0" w:line="480" w:lineRule="auto"/>
        <w:rPr>
          <w:rFonts w:ascii="Arial" w:hAnsi="Arial" w:cs="Arial"/>
          <w:b/>
          <w:sz w:val="20"/>
          <w:szCs w:val="20"/>
        </w:rPr>
      </w:pPr>
    </w:p>
    <w:p w:rsidR="00E03CDB" w:rsidRPr="00D44025" w:rsidRDefault="00E03CDB" w:rsidP="00945FA0">
      <w:pPr>
        <w:spacing w:after="0" w:line="480" w:lineRule="auto"/>
        <w:rPr>
          <w:rFonts w:ascii="Arial" w:hAnsi="Arial" w:cs="Arial"/>
          <w:b/>
          <w:sz w:val="20"/>
          <w:szCs w:val="20"/>
          <w:u w:val="single"/>
        </w:rPr>
      </w:pPr>
      <w:r w:rsidRPr="00D44025">
        <w:rPr>
          <w:rFonts w:ascii="Arial" w:hAnsi="Arial" w:cs="Arial"/>
          <w:b/>
          <w:sz w:val="20"/>
          <w:szCs w:val="20"/>
          <w:u w:val="single"/>
        </w:rPr>
        <w:t>Supplement 7: Analysis in EC-RF24</w:t>
      </w:r>
    </w:p>
    <w:p w:rsidR="00F85981" w:rsidRPr="00F85981" w:rsidRDefault="00F85981" w:rsidP="00945FA0">
      <w:pPr>
        <w:spacing w:after="0" w:line="480" w:lineRule="auto"/>
        <w:rPr>
          <w:rFonts w:ascii="Arial" w:hAnsi="Arial" w:cs="Arial"/>
          <w:b/>
          <w:sz w:val="20"/>
          <w:szCs w:val="20"/>
          <w:lang w:val="en-GB"/>
        </w:rPr>
      </w:pPr>
      <w:r w:rsidRPr="00E03CDB">
        <w:rPr>
          <w:rFonts w:ascii="Arial" w:hAnsi="Arial" w:cs="Arial"/>
          <w:b/>
          <w:bCs/>
          <w:sz w:val="20"/>
          <w:szCs w:val="20"/>
          <w:lang w:val="en-GB"/>
        </w:rPr>
        <w:lastRenderedPageBreak/>
        <w:t>Figure S7.1 ODC in EC-RF24</w:t>
      </w:r>
    </w:p>
    <w:p w:rsidR="00F85981" w:rsidRPr="00E03CDB" w:rsidRDefault="00F85981" w:rsidP="00945FA0">
      <w:pPr>
        <w:spacing w:after="0" w:line="480" w:lineRule="auto"/>
        <w:rPr>
          <w:rFonts w:ascii="Arial" w:hAnsi="Arial" w:cs="Arial"/>
          <w:sz w:val="20"/>
          <w:szCs w:val="20"/>
          <w:lang w:val="en-GB"/>
        </w:rPr>
      </w:pPr>
      <w:r w:rsidRPr="00E03CDB">
        <w:rPr>
          <w:rFonts w:ascii="Arial" w:hAnsi="Arial" w:cs="Arial"/>
          <w:sz w:val="20"/>
          <w:szCs w:val="20"/>
          <w:lang w:val="en-GB"/>
        </w:rPr>
        <w:t>A) Dasatinib, AZD4547 and BEZ-235 were selected as ODC in EC-RF24.</w:t>
      </w:r>
      <w:r w:rsidR="00E03CDB">
        <w:rPr>
          <w:rFonts w:ascii="Arial" w:hAnsi="Arial" w:cs="Arial"/>
          <w:sz w:val="20"/>
          <w:szCs w:val="20"/>
          <w:lang w:val="en-GB"/>
        </w:rPr>
        <w:t xml:space="preserve"> Alone, they inhibit cell metabolic activity by &lt;25%, whereas in combination their effect is &gt;85%.</w:t>
      </w:r>
      <w:r w:rsidRPr="00E03CDB">
        <w:rPr>
          <w:rFonts w:ascii="Arial" w:hAnsi="Arial" w:cs="Arial"/>
          <w:sz w:val="20"/>
          <w:szCs w:val="20"/>
          <w:lang w:val="en-GB"/>
        </w:rPr>
        <w:t xml:space="preserve"> B, C) Cell cycle analysis (B) and apoptosis analysis (C) reveals an increase in apoptosis af</w:t>
      </w:r>
      <w:r w:rsidR="00E03CDB">
        <w:rPr>
          <w:rFonts w:ascii="Arial" w:hAnsi="Arial" w:cs="Arial"/>
          <w:sz w:val="20"/>
          <w:szCs w:val="20"/>
          <w:lang w:val="en-GB"/>
        </w:rPr>
        <w:t>t</w:t>
      </w:r>
      <w:r w:rsidRPr="00E03CDB">
        <w:rPr>
          <w:rFonts w:ascii="Arial" w:hAnsi="Arial" w:cs="Arial"/>
          <w:sz w:val="20"/>
          <w:szCs w:val="20"/>
          <w:lang w:val="en-GB"/>
        </w:rPr>
        <w:t>er ODC treatment, which is in part mediated by AZD4547. D, E) Western blot analysis shows a domina</w:t>
      </w:r>
      <w:r w:rsidR="00E03CDB">
        <w:rPr>
          <w:rFonts w:ascii="Arial" w:hAnsi="Arial" w:cs="Arial"/>
          <w:sz w:val="20"/>
          <w:szCs w:val="20"/>
          <w:lang w:val="en-GB"/>
        </w:rPr>
        <w:t>n</w:t>
      </w:r>
      <w:r w:rsidRPr="00E03CDB">
        <w:rPr>
          <w:rFonts w:ascii="Arial" w:hAnsi="Arial" w:cs="Arial"/>
          <w:sz w:val="20"/>
          <w:szCs w:val="20"/>
          <w:lang w:val="en-GB"/>
        </w:rPr>
        <w:t xml:space="preserve">t action of dasatinib and BEZ-235 on phospho-AKT and phospho-RPS6 expression. </w:t>
      </w:r>
    </w:p>
    <w:p w:rsidR="00F85981" w:rsidRPr="00E03CDB" w:rsidRDefault="00F85981" w:rsidP="00945FA0">
      <w:pPr>
        <w:spacing w:after="0" w:line="480" w:lineRule="auto"/>
        <w:rPr>
          <w:rFonts w:ascii="Arial" w:hAnsi="Arial" w:cs="Arial"/>
          <w:sz w:val="20"/>
          <w:szCs w:val="20"/>
          <w:lang w:val="en-GB"/>
        </w:rPr>
      </w:pPr>
    </w:p>
    <w:p w:rsidR="00F85981" w:rsidRPr="00F85981" w:rsidRDefault="00F85981" w:rsidP="00945FA0">
      <w:pPr>
        <w:spacing w:after="0" w:line="480" w:lineRule="auto"/>
        <w:rPr>
          <w:rFonts w:ascii="Arial" w:hAnsi="Arial" w:cs="Arial"/>
          <w:b/>
          <w:sz w:val="20"/>
          <w:szCs w:val="20"/>
          <w:lang w:val="en-GB"/>
        </w:rPr>
      </w:pPr>
      <w:r w:rsidRPr="00E03CDB">
        <w:rPr>
          <w:rFonts w:ascii="Arial" w:hAnsi="Arial" w:cs="Arial"/>
          <w:b/>
          <w:bCs/>
          <w:sz w:val="20"/>
          <w:szCs w:val="20"/>
          <w:lang w:val="en-GB"/>
        </w:rPr>
        <w:t xml:space="preserve">Figure S7.2 </w:t>
      </w:r>
      <w:proofErr w:type="spellStart"/>
      <w:r w:rsidRPr="00E03CDB">
        <w:rPr>
          <w:rFonts w:ascii="Arial" w:hAnsi="Arial" w:cs="Arial"/>
          <w:b/>
          <w:bCs/>
          <w:sz w:val="20"/>
          <w:szCs w:val="20"/>
          <w:lang w:val="en-GB"/>
        </w:rPr>
        <w:t>Phosphoproteomics</w:t>
      </w:r>
      <w:proofErr w:type="spellEnd"/>
      <w:r w:rsidRPr="00E03CDB">
        <w:rPr>
          <w:rFonts w:ascii="Arial" w:hAnsi="Arial" w:cs="Arial"/>
          <w:b/>
          <w:bCs/>
          <w:sz w:val="20"/>
          <w:szCs w:val="20"/>
          <w:lang w:val="en-GB"/>
        </w:rPr>
        <w:t xml:space="preserve"> analysis of EC-RF24</w:t>
      </w:r>
    </w:p>
    <w:p w:rsidR="00F85981" w:rsidRPr="00E03CDB" w:rsidRDefault="00F85981" w:rsidP="00945FA0">
      <w:pPr>
        <w:spacing w:after="0" w:line="480" w:lineRule="auto"/>
        <w:rPr>
          <w:rFonts w:ascii="Arial" w:hAnsi="Arial" w:cs="Arial"/>
          <w:sz w:val="20"/>
          <w:szCs w:val="20"/>
          <w:lang w:val="en-GB"/>
        </w:rPr>
      </w:pPr>
      <w:r w:rsidRPr="00E03CDB">
        <w:rPr>
          <w:rFonts w:ascii="Arial" w:hAnsi="Arial" w:cs="Arial"/>
          <w:sz w:val="20"/>
          <w:szCs w:val="20"/>
          <w:lang w:val="en-GB"/>
        </w:rPr>
        <w:t xml:space="preserve">A, B) INKA networks and plots off untreated EC-RF24 cells. Drug targets in the top 20 are color-coded. C) Phosphokinase </w:t>
      </w:r>
      <w:proofErr w:type="spellStart"/>
      <w:r w:rsidRPr="00E03CDB">
        <w:rPr>
          <w:rFonts w:ascii="Arial" w:hAnsi="Arial" w:cs="Arial"/>
          <w:sz w:val="20"/>
          <w:szCs w:val="20"/>
          <w:lang w:val="en-GB"/>
        </w:rPr>
        <w:t>expresion</w:t>
      </w:r>
      <w:proofErr w:type="spellEnd"/>
      <w:r w:rsidRPr="00E03CDB">
        <w:rPr>
          <w:rFonts w:ascii="Arial" w:hAnsi="Arial" w:cs="Arial"/>
          <w:sz w:val="20"/>
          <w:szCs w:val="20"/>
          <w:lang w:val="en-GB"/>
        </w:rPr>
        <w:t xml:space="preserve"> levels, expressed in relation to those in RCC lines</w:t>
      </w:r>
      <w:r w:rsidR="00E03CDB">
        <w:rPr>
          <w:rFonts w:ascii="Arial" w:hAnsi="Arial" w:cs="Arial"/>
          <w:sz w:val="20"/>
          <w:szCs w:val="20"/>
          <w:lang w:val="en-GB"/>
        </w:rPr>
        <w:t xml:space="preserve"> shown in Figure 3</w:t>
      </w:r>
      <w:r w:rsidRPr="00E03CDB">
        <w:rPr>
          <w:rFonts w:ascii="Arial" w:hAnsi="Arial" w:cs="Arial"/>
          <w:sz w:val="20"/>
          <w:szCs w:val="20"/>
          <w:lang w:val="en-GB"/>
        </w:rPr>
        <w:t>.</w:t>
      </w:r>
    </w:p>
    <w:p w:rsidR="00E03CDB" w:rsidRDefault="00E03CDB" w:rsidP="00945FA0">
      <w:pPr>
        <w:spacing w:line="480" w:lineRule="auto"/>
        <w:rPr>
          <w:rFonts w:ascii="Arial" w:hAnsi="Arial" w:cs="Arial"/>
          <w:b/>
          <w:bCs/>
          <w:iCs/>
          <w:sz w:val="20"/>
          <w:szCs w:val="20"/>
        </w:rPr>
      </w:pPr>
    </w:p>
    <w:p w:rsidR="00A94847" w:rsidRPr="00D44025" w:rsidRDefault="00A94847" w:rsidP="00945FA0">
      <w:pPr>
        <w:spacing w:after="0" w:line="480" w:lineRule="auto"/>
        <w:rPr>
          <w:rFonts w:ascii="Arial" w:hAnsi="Arial" w:cs="Arial"/>
          <w:b/>
          <w:bCs/>
          <w:iCs/>
          <w:sz w:val="20"/>
          <w:szCs w:val="20"/>
          <w:u w:val="single"/>
        </w:rPr>
      </w:pPr>
      <w:r w:rsidRPr="00D44025">
        <w:rPr>
          <w:rFonts w:ascii="Arial" w:hAnsi="Arial" w:cs="Arial"/>
          <w:b/>
          <w:bCs/>
          <w:iCs/>
          <w:sz w:val="20"/>
          <w:szCs w:val="20"/>
          <w:u w:val="single"/>
        </w:rPr>
        <w:t>Supplement 8: Drug-kinase efficacy</w:t>
      </w:r>
    </w:p>
    <w:p w:rsidR="00C425C1" w:rsidRDefault="00A94847" w:rsidP="00945FA0">
      <w:pPr>
        <w:spacing w:after="0" w:line="480" w:lineRule="auto"/>
        <w:rPr>
          <w:rFonts w:ascii="Arial" w:hAnsi="Arial" w:cs="Arial"/>
          <w:b/>
          <w:bCs/>
          <w:iCs/>
          <w:sz w:val="20"/>
          <w:szCs w:val="20"/>
        </w:rPr>
      </w:pPr>
      <w:r>
        <w:rPr>
          <w:rFonts w:ascii="Arial" w:hAnsi="Arial" w:cs="Arial"/>
          <w:b/>
          <w:bCs/>
          <w:iCs/>
          <w:sz w:val="20"/>
          <w:szCs w:val="20"/>
        </w:rPr>
        <w:t>Figure S8 Heatmap of EC</w:t>
      </w:r>
      <w:r w:rsidRPr="00C425C1">
        <w:rPr>
          <w:rFonts w:ascii="Arial" w:hAnsi="Arial" w:cs="Arial"/>
          <w:b/>
          <w:bCs/>
          <w:iCs/>
          <w:sz w:val="20"/>
          <w:szCs w:val="20"/>
          <w:vertAlign w:val="subscript"/>
        </w:rPr>
        <w:t xml:space="preserve">50 </w:t>
      </w:r>
      <w:r>
        <w:rPr>
          <w:rFonts w:ascii="Arial" w:hAnsi="Arial" w:cs="Arial"/>
          <w:b/>
          <w:bCs/>
          <w:iCs/>
          <w:sz w:val="20"/>
          <w:szCs w:val="20"/>
        </w:rPr>
        <w:t>of</w:t>
      </w:r>
      <w:r w:rsidR="00C425C1">
        <w:rPr>
          <w:rFonts w:ascii="Arial" w:hAnsi="Arial" w:cs="Arial"/>
          <w:b/>
          <w:bCs/>
          <w:iCs/>
          <w:sz w:val="20"/>
          <w:szCs w:val="20"/>
        </w:rPr>
        <w:t xml:space="preserve"> drugs inhibiting most active 786-O kinases</w:t>
      </w:r>
    </w:p>
    <w:p w:rsidR="000A087E" w:rsidRDefault="00C425C1" w:rsidP="00945FA0">
      <w:pPr>
        <w:spacing w:after="0" w:line="480" w:lineRule="auto"/>
        <w:rPr>
          <w:rFonts w:ascii="Arial" w:hAnsi="Arial" w:cs="Arial"/>
          <w:bCs/>
          <w:iCs/>
          <w:sz w:val="20"/>
          <w:szCs w:val="20"/>
        </w:rPr>
      </w:pPr>
      <w:r>
        <w:rPr>
          <w:rFonts w:ascii="Arial" w:hAnsi="Arial" w:cs="Arial"/>
          <w:bCs/>
          <w:iCs/>
          <w:sz w:val="20"/>
          <w:szCs w:val="20"/>
        </w:rPr>
        <w:t>Drugs with reported EC</w:t>
      </w:r>
      <w:r w:rsidRPr="00C425C1">
        <w:rPr>
          <w:rFonts w:ascii="Arial" w:hAnsi="Arial" w:cs="Arial"/>
          <w:bCs/>
          <w:iCs/>
          <w:sz w:val="20"/>
          <w:szCs w:val="20"/>
          <w:vertAlign w:val="subscript"/>
        </w:rPr>
        <w:t>50</w:t>
      </w:r>
      <w:r>
        <w:rPr>
          <w:rFonts w:ascii="Arial" w:hAnsi="Arial" w:cs="Arial"/>
          <w:bCs/>
          <w:iCs/>
          <w:sz w:val="20"/>
          <w:szCs w:val="20"/>
        </w:rPr>
        <w:t xml:space="preserve"> &lt;2µM against the top 20 INKA kinases in untreated 786-O were retrieved from proteomicsdb.org, and used for clustering and heatmap generation. Lighter colors indic</w:t>
      </w:r>
      <w:r w:rsidR="00574FD0">
        <w:rPr>
          <w:rFonts w:ascii="Arial" w:hAnsi="Arial" w:cs="Arial"/>
          <w:bCs/>
          <w:iCs/>
          <w:sz w:val="20"/>
          <w:szCs w:val="20"/>
        </w:rPr>
        <w:t>ate higher activity (higher -Log10(</w:t>
      </w:r>
      <w:r>
        <w:rPr>
          <w:rFonts w:ascii="Arial" w:hAnsi="Arial" w:cs="Arial"/>
          <w:bCs/>
          <w:iCs/>
          <w:sz w:val="20"/>
          <w:szCs w:val="20"/>
        </w:rPr>
        <w:t>EC</w:t>
      </w:r>
      <w:r w:rsidRPr="004F620D">
        <w:rPr>
          <w:rFonts w:ascii="Arial" w:hAnsi="Arial" w:cs="Arial"/>
          <w:bCs/>
          <w:iCs/>
          <w:sz w:val="20"/>
          <w:szCs w:val="20"/>
          <w:vertAlign w:val="subscript"/>
        </w:rPr>
        <w:t>50</w:t>
      </w:r>
      <w:r w:rsidR="00574FD0">
        <w:rPr>
          <w:rFonts w:ascii="Arial" w:hAnsi="Arial" w:cs="Arial"/>
          <w:bCs/>
          <w:iCs/>
          <w:sz w:val="20"/>
          <w:szCs w:val="20"/>
        </w:rPr>
        <w:t xml:space="preserve">) </w:t>
      </w:r>
      <w:r>
        <w:rPr>
          <w:rFonts w:ascii="Arial" w:hAnsi="Arial" w:cs="Arial"/>
          <w:bCs/>
          <w:iCs/>
          <w:sz w:val="20"/>
          <w:szCs w:val="20"/>
        </w:rPr>
        <w:t xml:space="preserve">values) against a given kinase. It shows that many drugs are effective against multiple kinases while others are relatively specific for a single kinase. </w:t>
      </w:r>
    </w:p>
    <w:p w:rsidR="000A087E" w:rsidRPr="00B83D41" w:rsidRDefault="000A087E" w:rsidP="00B955B6">
      <w:pPr>
        <w:spacing w:after="0" w:line="480" w:lineRule="auto"/>
        <w:rPr>
          <w:rFonts w:ascii="Arial" w:hAnsi="Arial" w:cs="Arial"/>
          <w:b/>
          <w:bCs/>
          <w:iCs/>
          <w:sz w:val="20"/>
          <w:szCs w:val="20"/>
          <w:u w:val="single"/>
        </w:rPr>
      </w:pPr>
    </w:p>
    <w:p w:rsidR="000A087E" w:rsidRPr="00B83D41" w:rsidRDefault="000A087E" w:rsidP="00B955B6">
      <w:pPr>
        <w:spacing w:after="0" w:line="480" w:lineRule="auto"/>
        <w:rPr>
          <w:rFonts w:ascii="Arial" w:hAnsi="Arial" w:cs="Arial"/>
          <w:b/>
          <w:bCs/>
          <w:iCs/>
          <w:sz w:val="20"/>
          <w:szCs w:val="20"/>
          <w:u w:val="single"/>
        </w:rPr>
      </w:pPr>
      <w:r w:rsidRPr="00B83D41">
        <w:rPr>
          <w:rFonts w:ascii="Arial" w:hAnsi="Arial" w:cs="Arial"/>
          <w:b/>
          <w:bCs/>
          <w:iCs/>
          <w:sz w:val="20"/>
          <w:szCs w:val="20"/>
          <w:u w:val="single"/>
        </w:rPr>
        <w:t>Supplement</w:t>
      </w:r>
      <w:r w:rsidR="0045055B" w:rsidRPr="00B83D41">
        <w:rPr>
          <w:rFonts w:ascii="Arial" w:hAnsi="Arial" w:cs="Arial"/>
          <w:b/>
          <w:bCs/>
          <w:iCs/>
          <w:sz w:val="20"/>
          <w:szCs w:val="20"/>
          <w:u w:val="single"/>
        </w:rPr>
        <w:t>s</w:t>
      </w:r>
      <w:r w:rsidRPr="00B83D41">
        <w:rPr>
          <w:rFonts w:ascii="Arial" w:hAnsi="Arial" w:cs="Arial"/>
          <w:b/>
          <w:bCs/>
          <w:iCs/>
          <w:sz w:val="20"/>
          <w:szCs w:val="20"/>
          <w:u w:val="single"/>
        </w:rPr>
        <w:t xml:space="preserve"> 9</w:t>
      </w:r>
      <w:r w:rsidR="0045055B" w:rsidRPr="00B83D41">
        <w:rPr>
          <w:rFonts w:ascii="Arial" w:hAnsi="Arial" w:cs="Arial"/>
          <w:b/>
          <w:bCs/>
          <w:iCs/>
          <w:sz w:val="20"/>
          <w:szCs w:val="20"/>
          <w:u w:val="single"/>
        </w:rPr>
        <w:t>-10</w:t>
      </w:r>
      <w:r w:rsidRPr="00B83D41">
        <w:rPr>
          <w:rFonts w:ascii="Arial" w:hAnsi="Arial" w:cs="Arial"/>
          <w:b/>
          <w:bCs/>
          <w:iCs/>
          <w:sz w:val="20"/>
          <w:szCs w:val="20"/>
          <w:u w:val="single"/>
        </w:rPr>
        <w:t xml:space="preserve">: </w:t>
      </w:r>
      <w:r w:rsidRPr="00B83D41">
        <w:rPr>
          <w:rFonts w:ascii="Arial" w:hAnsi="Arial" w:cs="Arial"/>
          <w:b/>
          <w:sz w:val="20"/>
          <w:szCs w:val="20"/>
          <w:u w:val="single"/>
        </w:rPr>
        <w:t>Western blot</w:t>
      </w:r>
    </w:p>
    <w:p w:rsidR="0045055B" w:rsidRDefault="0045055B" w:rsidP="00B955B6">
      <w:pPr>
        <w:spacing w:after="0" w:line="480" w:lineRule="auto"/>
        <w:rPr>
          <w:rFonts w:ascii="Arial" w:hAnsi="Arial" w:cs="Arial"/>
          <w:b/>
          <w:sz w:val="20"/>
          <w:szCs w:val="20"/>
        </w:rPr>
      </w:pPr>
      <w:r w:rsidRPr="000A087E">
        <w:rPr>
          <w:rFonts w:ascii="Arial" w:hAnsi="Arial" w:cs="Arial"/>
          <w:b/>
          <w:sz w:val="20"/>
          <w:szCs w:val="20"/>
        </w:rPr>
        <w:t>Figure S</w:t>
      </w:r>
      <w:r>
        <w:rPr>
          <w:rFonts w:ascii="Arial" w:hAnsi="Arial" w:cs="Arial"/>
          <w:b/>
          <w:sz w:val="20"/>
          <w:szCs w:val="20"/>
        </w:rPr>
        <w:t>9</w:t>
      </w:r>
      <w:r w:rsidRPr="000A087E">
        <w:rPr>
          <w:rFonts w:ascii="Arial" w:hAnsi="Arial" w:cs="Arial"/>
          <w:b/>
          <w:sz w:val="20"/>
          <w:szCs w:val="20"/>
        </w:rPr>
        <w:t>: Original Western blot image</w:t>
      </w:r>
      <w:r>
        <w:rPr>
          <w:rFonts w:ascii="Arial" w:hAnsi="Arial" w:cs="Arial"/>
          <w:b/>
          <w:sz w:val="20"/>
          <w:szCs w:val="20"/>
        </w:rPr>
        <w:t>s and reference to Figure 2 and Figure S7.1</w:t>
      </w:r>
    </w:p>
    <w:p w:rsidR="0045055B" w:rsidRDefault="0045055B" w:rsidP="00B955B6">
      <w:pPr>
        <w:spacing w:after="0" w:line="480" w:lineRule="auto"/>
        <w:rPr>
          <w:rFonts w:ascii="Arial" w:hAnsi="Arial" w:cs="Arial"/>
          <w:sz w:val="20"/>
          <w:szCs w:val="20"/>
        </w:rPr>
      </w:pPr>
      <w:r>
        <w:rPr>
          <w:rFonts w:ascii="Arial" w:hAnsi="Arial" w:cs="Arial"/>
          <w:b/>
          <w:sz w:val="20"/>
          <w:szCs w:val="20"/>
        </w:rPr>
        <w:t xml:space="preserve">Figure S9.1 – </w:t>
      </w:r>
      <w:r>
        <w:rPr>
          <w:rFonts w:ascii="Arial" w:hAnsi="Arial" w:cs="Arial"/>
          <w:sz w:val="20"/>
          <w:szCs w:val="20"/>
        </w:rPr>
        <w:t>Detection of phosphor-AKT, phosphor-MAPK and phosphor-RPS6 in 786-O and A498 as presented in Figure 2</w:t>
      </w:r>
    </w:p>
    <w:p w:rsidR="0045055B" w:rsidRDefault="0045055B" w:rsidP="00B955B6">
      <w:pPr>
        <w:spacing w:after="0" w:line="480" w:lineRule="auto"/>
        <w:rPr>
          <w:rFonts w:ascii="Arial" w:hAnsi="Arial" w:cs="Arial"/>
          <w:sz w:val="20"/>
          <w:szCs w:val="20"/>
        </w:rPr>
      </w:pPr>
      <w:r w:rsidRPr="00B83D41">
        <w:rPr>
          <w:rFonts w:ascii="Arial" w:hAnsi="Arial" w:cs="Arial"/>
          <w:b/>
          <w:sz w:val="20"/>
          <w:szCs w:val="20"/>
        </w:rPr>
        <w:t>Figure S9.2</w:t>
      </w:r>
      <w:r>
        <w:rPr>
          <w:rFonts w:ascii="Arial" w:hAnsi="Arial" w:cs="Arial"/>
          <w:sz w:val="20"/>
          <w:szCs w:val="20"/>
        </w:rPr>
        <w:t xml:space="preserve"> - Detection of phosphor-AKT, phosphor-MAPK and phosphor-RPS6 in Caki-1 and Caki-2 as presented in Figure 2</w:t>
      </w:r>
    </w:p>
    <w:p w:rsidR="00B83D41" w:rsidRDefault="00B83D41" w:rsidP="00B955B6">
      <w:pPr>
        <w:spacing w:after="0" w:line="480" w:lineRule="auto"/>
        <w:rPr>
          <w:rFonts w:ascii="Arial" w:hAnsi="Arial" w:cs="Arial"/>
          <w:sz w:val="20"/>
          <w:szCs w:val="20"/>
        </w:rPr>
      </w:pPr>
      <w:r w:rsidRPr="00B83D41">
        <w:rPr>
          <w:rFonts w:ascii="Arial" w:hAnsi="Arial" w:cs="Arial"/>
          <w:b/>
          <w:sz w:val="20"/>
          <w:szCs w:val="20"/>
        </w:rPr>
        <w:t>Figure S9.</w:t>
      </w:r>
      <w:r>
        <w:rPr>
          <w:rFonts w:ascii="Arial" w:hAnsi="Arial" w:cs="Arial"/>
          <w:b/>
          <w:sz w:val="20"/>
          <w:szCs w:val="20"/>
        </w:rPr>
        <w:t>3</w:t>
      </w:r>
      <w:r>
        <w:rPr>
          <w:rFonts w:ascii="Arial" w:hAnsi="Arial" w:cs="Arial"/>
          <w:sz w:val="20"/>
          <w:szCs w:val="20"/>
        </w:rPr>
        <w:t xml:space="preserve"> - Detection of phosphor-AKT, phosphor-MAPK and phosphor-RPS6 in duplicate samples RF24 of which the left is presented in Figure S7.1</w:t>
      </w:r>
    </w:p>
    <w:p w:rsidR="00B83D41" w:rsidRDefault="00B83D41" w:rsidP="00B955B6">
      <w:pPr>
        <w:spacing w:after="0" w:line="240" w:lineRule="auto"/>
        <w:rPr>
          <w:rFonts w:ascii="Arial" w:hAnsi="Arial" w:cs="Arial"/>
          <w:b/>
          <w:sz w:val="20"/>
          <w:szCs w:val="20"/>
        </w:rPr>
      </w:pPr>
    </w:p>
    <w:p w:rsidR="000A087E" w:rsidRPr="000A087E" w:rsidRDefault="000A087E" w:rsidP="00B955B6">
      <w:pPr>
        <w:spacing w:after="0" w:line="480" w:lineRule="auto"/>
        <w:rPr>
          <w:rFonts w:ascii="Arial" w:hAnsi="Arial" w:cs="Arial"/>
          <w:b/>
          <w:sz w:val="20"/>
          <w:szCs w:val="20"/>
        </w:rPr>
      </w:pPr>
      <w:r w:rsidRPr="000A087E">
        <w:rPr>
          <w:rFonts w:ascii="Arial" w:hAnsi="Arial" w:cs="Arial"/>
          <w:b/>
          <w:sz w:val="20"/>
          <w:szCs w:val="20"/>
        </w:rPr>
        <w:t>Figure S</w:t>
      </w:r>
      <w:r w:rsidR="0045055B">
        <w:rPr>
          <w:rFonts w:ascii="Arial" w:hAnsi="Arial" w:cs="Arial"/>
          <w:b/>
          <w:sz w:val="20"/>
          <w:szCs w:val="20"/>
        </w:rPr>
        <w:t>10</w:t>
      </w:r>
      <w:r w:rsidRPr="000A087E">
        <w:rPr>
          <w:rFonts w:ascii="Arial" w:hAnsi="Arial" w:cs="Arial"/>
          <w:b/>
          <w:sz w:val="20"/>
          <w:szCs w:val="20"/>
        </w:rPr>
        <w:t>: Original Western blot images and reference to main figure 6</w:t>
      </w:r>
    </w:p>
    <w:p w:rsidR="000A087E" w:rsidRPr="000A087E" w:rsidRDefault="000A087E" w:rsidP="00B955B6">
      <w:pPr>
        <w:spacing w:after="0" w:line="480" w:lineRule="auto"/>
        <w:rPr>
          <w:rFonts w:ascii="Arial" w:hAnsi="Arial" w:cs="Arial"/>
          <w:sz w:val="20"/>
          <w:szCs w:val="20"/>
        </w:rPr>
      </w:pPr>
      <w:r w:rsidRPr="000A087E">
        <w:rPr>
          <w:rFonts w:ascii="Arial" w:hAnsi="Arial" w:cs="Arial"/>
          <w:sz w:val="20"/>
          <w:szCs w:val="20"/>
        </w:rPr>
        <w:lastRenderedPageBreak/>
        <w:t xml:space="preserve">Original blots. Lane numbers are indicated and may be mirrored in the presentation of figure 6. Furthermore, for adequate presentation in main figure 6, contrast was globally adjusted. </w:t>
      </w:r>
    </w:p>
    <w:p w:rsidR="000A087E" w:rsidRPr="000A087E" w:rsidRDefault="000A087E" w:rsidP="00B955B6">
      <w:pPr>
        <w:spacing w:after="0" w:line="480" w:lineRule="auto"/>
        <w:rPr>
          <w:rFonts w:ascii="Arial" w:hAnsi="Arial" w:cs="Arial"/>
          <w:sz w:val="20"/>
          <w:szCs w:val="20"/>
          <w:lang w:eastAsia="en-GB"/>
        </w:rPr>
      </w:pPr>
      <w:r>
        <w:rPr>
          <w:rFonts w:ascii="Arial" w:hAnsi="Arial" w:cs="Arial"/>
          <w:b/>
          <w:bCs/>
          <w:iCs/>
          <w:sz w:val="20"/>
          <w:szCs w:val="20"/>
        </w:rPr>
        <w:t xml:space="preserve">Figure </w:t>
      </w:r>
      <w:r w:rsidRPr="000A087E">
        <w:rPr>
          <w:rFonts w:ascii="Arial" w:hAnsi="Arial" w:cs="Arial"/>
          <w:b/>
          <w:bCs/>
          <w:iCs/>
          <w:sz w:val="20"/>
          <w:szCs w:val="20"/>
        </w:rPr>
        <w:t>S</w:t>
      </w:r>
      <w:r w:rsidR="0045055B">
        <w:rPr>
          <w:rFonts w:ascii="Arial" w:hAnsi="Arial" w:cs="Arial"/>
          <w:b/>
          <w:sz w:val="20"/>
          <w:szCs w:val="20"/>
        </w:rPr>
        <w:t>10</w:t>
      </w:r>
      <w:r w:rsidRPr="000A087E">
        <w:rPr>
          <w:rFonts w:ascii="Arial" w:hAnsi="Arial" w:cs="Arial"/>
          <w:b/>
          <w:sz w:val="20"/>
          <w:szCs w:val="20"/>
        </w:rPr>
        <w:t>.1</w:t>
      </w:r>
      <w:r w:rsidRPr="000A087E">
        <w:rPr>
          <w:rFonts w:ascii="Arial" w:hAnsi="Arial" w:cs="Arial"/>
          <w:sz w:val="20"/>
          <w:szCs w:val="20"/>
        </w:rPr>
        <w:t xml:space="preserve"> - MET: For </w:t>
      </w:r>
      <w:proofErr w:type="spellStart"/>
      <w:r w:rsidRPr="000A087E">
        <w:rPr>
          <w:rFonts w:ascii="Arial" w:hAnsi="Arial" w:cs="Arial"/>
          <w:sz w:val="20"/>
          <w:szCs w:val="20"/>
        </w:rPr>
        <w:t>phosphoMET</w:t>
      </w:r>
      <w:proofErr w:type="spellEnd"/>
      <w:r w:rsidRPr="000A087E">
        <w:rPr>
          <w:rFonts w:ascii="Arial" w:hAnsi="Arial" w:cs="Arial"/>
          <w:sz w:val="20"/>
          <w:szCs w:val="20"/>
        </w:rPr>
        <w:t xml:space="preserve">, exposure of 6’ is presented in Fig 6. It must be noted that due to the low expression of </w:t>
      </w:r>
      <w:proofErr w:type="spellStart"/>
      <w:r w:rsidRPr="000A087E">
        <w:rPr>
          <w:rFonts w:ascii="Arial" w:hAnsi="Arial" w:cs="Arial"/>
          <w:sz w:val="20"/>
          <w:szCs w:val="20"/>
        </w:rPr>
        <w:t>phosphoMET</w:t>
      </w:r>
      <w:proofErr w:type="spellEnd"/>
      <w:r w:rsidRPr="000A087E">
        <w:rPr>
          <w:rFonts w:ascii="Arial" w:hAnsi="Arial" w:cs="Arial"/>
          <w:sz w:val="20"/>
          <w:szCs w:val="20"/>
        </w:rPr>
        <w:t xml:space="preserve">, blots were developed </w:t>
      </w:r>
      <w:r w:rsidRPr="000A087E">
        <w:rPr>
          <w:rFonts w:ascii="Arial" w:hAnsi="Arial" w:cs="Arial"/>
          <w:sz w:val="20"/>
          <w:szCs w:val="20"/>
          <w:lang w:eastAsia="en-GB"/>
        </w:rPr>
        <w:t xml:space="preserve">using a </w:t>
      </w:r>
      <w:proofErr w:type="spellStart"/>
      <w:r w:rsidRPr="000A087E">
        <w:rPr>
          <w:rFonts w:ascii="Arial" w:hAnsi="Arial" w:cs="Arial"/>
          <w:sz w:val="20"/>
          <w:szCs w:val="20"/>
          <w:lang w:eastAsia="en-GB"/>
        </w:rPr>
        <w:t>Uvitec</w:t>
      </w:r>
      <w:proofErr w:type="spellEnd"/>
      <w:r w:rsidRPr="000A087E">
        <w:rPr>
          <w:rFonts w:ascii="Arial" w:hAnsi="Arial" w:cs="Arial"/>
          <w:sz w:val="20"/>
          <w:szCs w:val="20"/>
          <w:lang w:eastAsia="en-GB"/>
        </w:rPr>
        <w:t xml:space="preserve"> Alliance </w:t>
      </w:r>
      <w:proofErr w:type="spellStart"/>
      <w:r w:rsidRPr="000A087E">
        <w:rPr>
          <w:rFonts w:ascii="Arial" w:hAnsi="Arial" w:cs="Arial"/>
          <w:sz w:val="20"/>
          <w:szCs w:val="20"/>
          <w:lang w:eastAsia="en-GB"/>
        </w:rPr>
        <w:t>chemiluminescence</w:t>
      </w:r>
      <w:proofErr w:type="spellEnd"/>
      <w:r w:rsidRPr="000A087E">
        <w:rPr>
          <w:rFonts w:ascii="Arial" w:hAnsi="Arial" w:cs="Arial"/>
          <w:sz w:val="20"/>
          <w:szCs w:val="20"/>
          <w:lang w:eastAsia="en-GB"/>
        </w:rPr>
        <w:t xml:space="preserve"> </w:t>
      </w:r>
      <w:proofErr w:type="spellStart"/>
      <w:r w:rsidRPr="000A087E">
        <w:rPr>
          <w:rFonts w:ascii="Arial" w:hAnsi="Arial" w:cs="Arial"/>
          <w:sz w:val="20"/>
          <w:szCs w:val="20"/>
          <w:lang w:eastAsia="en-GB"/>
        </w:rPr>
        <w:t>imaer</w:t>
      </w:r>
      <w:proofErr w:type="spellEnd"/>
      <w:r w:rsidRPr="000A087E">
        <w:rPr>
          <w:rFonts w:ascii="Arial" w:hAnsi="Arial" w:cs="Arial"/>
          <w:sz w:val="20"/>
          <w:szCs w:val="20"/>
          <w:lang w:eastAsia="en-GB"/>
        </w:rPr>
        <w:t xml:space="preserve"> </w:t>
      </w:r>
      <w:r w:rsidRPr="000A087E">
        <w:rPr>
          <w:rFonts w:ascii="Arial" w:hAnsi="Arial" w:cs="Arial"/>
          <w:sz w:val="20"/>
          <w:szCs w:val="20"/>
        </w:rPr>
        <w:t xml:space="preserve">whereas the remainder of the blots were imaged using </w:t>
      </w:r>
      <w:proofErr w:type="spellStart"/>
      <w:r w:rsidRPr="000A087E">
        <w:rPr>
          <w:rFonts w:ascii="Arial" w:hAnsi="Arial" w:cs="Arial"/>
          <w:sz w:val="20"/>
          <w:szCs w:val="20"/>
          <w:lang w:eastAsia="en-GB"/>
        </w:rPr>
        <w:t>Licor</w:t>
      </w:r>
      <w:proofErr w:type="spellEnd"/>
      <w:r w:rsidRPr="000A087E">
        <w:rPr>
          <w:rFonts w:ascii="Arial" w:hAnsi="Arial" w:cs="Arial"/>
          <w:sz w:val="20"/>
          <w:szCs w:val="20"/>
          <w:lang w:eastAsia="en-GB"/>
        </w:rPr>
        <w:t xml:space="preserve"> Odyssey </w:t>
      </w:r>
      <w:proofErr w:type="spellStart"/>
      <w:r w:rsidRPr="000A087E">
        <w:rPr>
          <w:rFonts w:ascii="Arial" w:hAnsi="Arial" w:cs="Arial"/>
          <w:sz w:val="20"/>
          <w:szCs w:val="20"/>
          <w:lang w:eastAsia="en-GB"/>
        </w:rPr>
        <w:t>CLx</w:t>
      </w:r>
      <w:proofErr w:type="spellEnd"/>
      <w:r w:rsidRPr="000A087E">
        <w:rPr>
          <w:rFonts w:ascii="Arial" w:hAnsi="Arial" w:cs="Arial"/>
          <w:sz w:val="20"/>
          <w:szCs w:val="20"/>
          <w:lang w:eastAsia="en-GB"/>
        </w:rPr>
        <w:t xml:space="preserve"> scanner. Therefore, a separate (light) image is shown of the blot to show the molecular weight marker.</w:t>
      </w:r>
    </w:p>
    <w:p w:rsidR="000A087E" w:rsidRPr="000A087E" w:rsidRDefault="000A087E" w:rsidP="00B955B6">
      <w:pPr>
        <w:spacing w:after="0" w:line="480" w:lineRule="auto"/>
        <w:rPr>
          <w:rFonts w:ascii="Arial" w:hAnsi="Arial" w:cs="Arial"/>
          <w:sz w:val="20"/>
          <w:szCs w:val="20"/>
          <w:lang w:eastAsia="en-GB"/>
        </w:rPr>
      </w:pPr>
      <w:r>
        <w:rPr>
          <w:rFonts w:ascii="Arial" w:hAnsi="Arial" w:cs="Arial"/>
          <w:b/>
          <w:bCs/>
          <w:iCs/>
          <w:sz w:val="20"/>
          <w:szCs w:val="20"/>
        </w:rPr>
        <w:t xml:space="preserve">Figure </w:t>
      </w:r>
      <w:r w:rsidRPr="000A087E">
        <w:rPr>
          <w:rFonts w:ascii="Arial" w:hAnsi="Arial" w:cs="Arial"/>
          <w:b/>
          <w:bCs/>
          <w:iCs/>
          <w:sz w:val="20"/>
          <w:szCs w:val="20"/>
        </w:rPr>
        <w:t>S</w:t>
      </w:r>
      <w:r w:rsidR="0045055B">
        <w:rPr>
          <w:rFonts w:ascii="Arial" w:hAnsi="Arial" w:cs="Arial"/>
          <w:b/>
          <w:sz w:val="20"/>
          <w:szCs w:val="20"/>
        </w:rPr>
        <w:t>10</w:t>
      </w:r>
      <w:r w:rsidRPr="000A087E">
        <w:rPr>
          <w:rFonts w:ascii="Arial" w:hAnsi="Arial" w:cs="Arial"/>
          <w:b/>
          <w:sz w:val="20"/>
          <w:szCs w:val="20"/>
        </w:rPr>
        <w:t>.2</w:t>
      </w:r>
      <w:r w:rsidRPr="000A087E">
        <w:rPr>
          <w:rFonts w:ascii="Arial" w:hAnsi="Arial" w:cs="Arial"/>
          <w:sz w:val="20"/>
          <w:szCs w:val="20"/>
        </w:rPr>
        <w:t xml:space="preserve"> – EPHA2: For phosphoEPHA2, exposure of 12’ is presented in Fig 6. It must be noted that due to the low expression of phosphoEPHA2, blots were developed </w:t>
      </w:r>
      <w:r w:rsidRPr="000A087E">
        <w:rPr>
          <w:rFonts w:ascii="Arial" w:hAnsi="Arial" w:cs="Arial"/>
          <w:sz w:val="20"/>
          <w:szCs w:val="20"/>
          <w:lang w:eastAsia="en-GB"/>
        </w:rPr>
        <w:t xml:space="preserve">using a </w:t>
      </w:r>
      <w:proofErr w:type="spellStart"/>
      <w:r w:rsidRPr="000A087E">
        <w:rPr>
          <w:rFonts w:ascii="Arial" w:hAnsi="Arial" w:cs="Arial"/>
          <w:sz w:val="20"/>
          <w:szCs w:val="20"/>
          <w:lang w:eastAsia="en-GB"/>
        </w:rPr>
        <w:t>Uvitec</w:t>
      </w:r>
      <w:proofErr w:type="spellEnd"/>
      <w:r w:rsidRPr="000A087E">
        <w:rPr>
          <w:rFonts w:ascii="Arial" w:hAnsi="Arial" w:cs="Arial"/>
          <w:sz w:val="20"/>
          <w:szCs w:val="20"/>
          <w:lang w:eastAsia="en-GB"/>
        </w:rPr>
        <w:t xml:space="preserve"> Alliance </w:t>
      </w:r>
      <w:proofErr w:type="spellStart"/>
      <w:r w:rsidRPr="000A087E">
        <w:rPr>
          <w:rFonts w:ascii="Arial" w:hAnsi="Arial" w:cs="Arial"/>
          <w:sz w:val="20"/>
          <w:szCs w:val="20"/>
          <w:lang w:eastAsia="en-GB"/>
        </w:rPr>
        <w:t>chemiluminescence</w:t>
      </w:r>
      <w:proofErr w:type="spellEnd"/>
      <w:r w:rsidRPr="000A087E">
        <w:rPr>
          <w:rFonts w:ascii="Arial" w:hAnsi="Arial" w:cs="Arial"/>
          <w:sz w:val="20"/>
          <w:szCs w:val="20"/>
          <w:lang w:eastAsia="en-GB"/>
        </w:rPr>
        <w:t xml:space="preserve"> imager </w:t>
      </w:r>
      <w:r w:rsidRPr="000A087E">
        <w:rPr>
          <w:rFonts w:ascii="Arial" w:hAnsi="Arial" w:cs="Arial"/>
          <w:sz w:val="20"/>
          <w:szCs w:val="20"/>
        </w:rPr>
        <w:t xml:space="preserve">whereas the remainder of the blots were imaged using </w:t>
      </w:r>
      <w:proofErr w:type="spellStart"/>
      <w:r w:rsidRPr="000A087E">
        <w:rPr>
          <w:rFonts w:ascii="Arial" w:hAnsi="Arial" w:cs="Arial"/>
          <w:sz w:val="20"/>
          <w:szCs w:val="20"/>
          <w:lang w:eastAsia="en-GB"/>
        </w:rPr>
        <w:t>Licor</w:t>
      </w:r>
      <w:proofErr w:type="spellEnd"/>
      <w:r w:rsidRPr="000A087E">
        <w:rPr>
          <w:rFonts w:ascii="Arial" w:hAnsi="Arial" w:cs="Arial"/>
          <w:sz w:val="20"/>
          <w:szCs w:val="20"/>
          <w:lang w:eastAsia="en-GB"/>
        </w:rPr>
        <w:t xml:space="preserve"> Odyssey </w:t>
      </w:r>
      <w:proofErr w:type="spellStart"/>
      <w:r w:rsidRPr="000A087E">
        <w:rPr>
          <w:rFonts w:ascii="Arial" w:hAnsi="Arial" w:cs="Arial"/>
          <w:sz w:val="20"/>
          <w:szCs w:val="20"/>
          <w:lang w:eastAsia="en-GB"/>
        </w:rPr>
        <w:t>CLx</w:t>
      </w:r>
      <w:proofErr w:type="spellEnd"/>
      <w:r w:rsidRPr="000A087E">
        <w:rPr>
          <w:rFonts w:ascii="Arial" w:hAnsi="Arial" w:cs="Arial"/>
          <w:sz w:val="20"/>
          <w:szCs w:val="20"/>
          <w:lang w:eastAsia="en-GB"/>
        </w:rPr>
        <w:t xml:space="preserve"> scanner. Therefore, a separate (light) image is shown of the blot to show the molecular weight marker. The correct MW band of EPHA2 is indicated with “&gt;”.</w:t>
      </w:r>
    </w:p>
    <w:p w:rsidR="000A087E" w:rsidRPr="000A087E" w:rsidRDefault="000A087E" w:rsidP="00B955B6">
      <w:pPr>
        <w:spacing w:after="0" w:line="480" w:lineRule="auto"/>
        <w:rPr>
          <w:rFonts w:ascii="Arial" w:hAnsi="Arial" w:cs="Arial"/>
          <w:sz w:val="20"/>
          <w:szCs w:val="20"/>
          <w:lang w:eastAsia="en-GB"/>
        </w:rPr>
      </w:pPr>
      <w:r>
        <w:rPr>
          <w:rFonts w:ascii="Arial" w:hAnsi="Arial" w:cs="Arial"/>
          <w:b/>
          <w:bCs/>
          <w:iCs/>
          <w:sz w:val="20"/>
          <w:szCs w:val="20"/>
        </w:rPr>
        <w:t xml:space="preserve">Figure </w:t>
      </w:r>
      <w:r w:rsidRPr="000A087E">
        <w:rPr>
          <w:rFonts w:ascii="Arial" w:hAnsi="Arial" w:cs="Arial"/>
          <w:b/>
          <w:bCs/>
          <w:iCs/>
          <w:sz w:val="20"/>
          <w:szCs w:val="20"/>
        </w:rPr>
        <w:t>S</w:t>
      </w:r>
      <w:r w:rsidR="0045055B">
        <w:rPr>
          <w:rFonts w:ascii="Arial" w:hAnsi="Arial" w:cs="Arial"/>
          <w:b/>
          <w:sz w:val="20"/>
          <w:szCs w:val="20"/>
          <w:lang w:eastAsia="en-GB"/>
        </w:rPr>
        <w:t>10</w:t>
      </w:r>
      <w:r w:rsidRPr="000A087E">
        <w:rPr>
          <w:rFonts w:ascii="Arial" w:hAnsi="Arial" w:cs="Arial"/>
          <w:b/>
          <w:sz w:val="20"/>
          <w:szCs w:val="20"/>
          <w:lang w:eastAsia="en-GB"/>
        </w:rPr>
        <w:t>.3</w:t>
      </w:r>
      <w:r w:rsidRPr="000A087E">
        <w:rPr>
          <w:rFonts w:ascii="Arial" w:hAnsi="Arial" w:cs="Arial"/>
          <w:sz w:val="20"/>
          <w:szCs w:val="20"/>
          <w:lang w:eastAsia="en-GB"/>
        </w:rPr>
        <w:t xml:space="preserve"> – RPS6</w:t>
      </w:r>
    </w:p>
    <w:p w:rsidR="000A087E" w:rsidRPr="000A087E" w:rsidRDefault="000A087E" w:rsidP="00B955B6">
      <w:pPr>
        <w:spacing w:after="0" w:line="480" w:lineRule="auto"/>
        <w:rPr>
          <w:rFonts w:ascii="Arial" w:hAnsi="Arial" w:cs="Arial"/>
          <w:sz w:val="20"/>
          <w:szCs w:val="20"/>
        </w:rPr>
      </w:pPr>
      <w:r>
        <w:rPr>
          <w:rFonts w:ascii="Arial" w:hAnsi="Arial" w:cs="Arial"/>
          <w:b/>
          <w:bCs/>
          <w:iCs/>
          <w:sz w:val="20"/>
          <w:szCs w:val="20"/>
        </w:rPr>
        <w:t xml:space="preserve">Figure </w:t>
      </w:r>
      <w:r w:rsidRPr="000A087E">
        <w:rPr>
          <w:rFonts w:ascii="Arial" w:hAnsi="Arial" w:cs="Arial"/>
          <w:b/>
          <w:bCs/>
          <w:iCs/>
          <w:sz w:val="20"/>
          <w:szCs w:val="20"/>
        </w:rPr>
        <w:t>S</w:t>
      </w:r>
      <w:r w:rsidR="0045055B">
        <w:rPr>
          <w:rFonts w:ascii="Arial" w:hAnsi="Arial" w:cs="Arial"/>
          <w:b/>
          <w:sz w:val="20"/>
          <w:szCs w:val="20"/>
          <w:lang w:eastAsia="en-GB"/>
        </w:rPr>
        <w:t>10</w:t>
      </w:r>
      <w:r w:rsidRPr="000A087E">
        <w:rPr>
          <w:rFonts w:ascii="Arial" w:hAnsi="Arial" w:cs="Arial"/>
          <w:b/>
          <w:sz w:val="20"/>
          <w:szCs w:val="20"/>
          <w:lang w:eastAsia="en-GB"/>
        </w:rPr>
        <w:t>.4</w:t>
      </w:r>
      <w:r w:rsidRPr="000A087E">
        <w:rPr>
          <w:rFonts w:ascii="Arial" w:hAnsi="Arial" w:cs="Arial"/>
          <w:sz w:val="20"/>
          <w:szCs w:val="20"/>
          <w:lang w:eastAsia="en-GB"/>
        </w:rPr>
        <w:t xml:space="preserve"> – Actin: Two blots are shown as separate blots were probed for total and phosphoprotein in the experiments.</w:t>
      </w:r>
    </w:p>
    <w:p w:rsidR="000A087E" w:rsidRDefault="000A087E" w:rsidP="00B955B6">
      <w:pPr>
        <w:spacing w:after="0" w:line="480" w:lineRule="auto"/>
        <w:rPr>
          <w:rFonts w:ascii="Arial" w:hAnsi="Arial" w:cs="Arial"/>
          <w:bCs/>
          <w:iCs/>
          <w:sz w:val="20"/>
          <w:szCs w:val="20"/>
        </w:rPr>
      </w:pPr>
    </w:p>
    <w:p w:rsidR="00422B6E" w:rsidRPr="00DD45F1" w:rsidRDefault="00422B6E" w:rsidP="00B83D41">
      <w:pPr>
        <w:spacing w:after="0" w:line="480" w:lineRule="auto"/>
        <w:rPr>
          <w:rFonts w:ascii="Arial" w:hAnsi="Arial" w:cs="Arial"/>
          <w:b/>
          <w:bCs/>
          <w:iCs/>
          <w:sz w:val="20"/>
          <w:szCs w:val="20"/>
        </w:rPr>
      </w:pPr>
      <w:r>
        <w:rPr>
          <w:rFonts w:ascii="Arial" w:hAnsi="Arial" w:cs="Arial"/>
          <w:b/>
          <w:bCs/>
          <w:iCs/>
          <w:sz w:val="20"/>
          <w:szCs w:val="20"/>
        </w:rPr>
        <w:br w:type="page"/>
      </w:r>
      <w:r w:rsidRPr="00DD45F1">
        <w:rPr>
          <w:rFonts w:ascii="Arial" w:hAnsi="Arial" w:cs="Arial"/>
          <w:b/>
          <w:bCs/>
          <w:iCs/>
          <w:sz w:val="20"/>
          <w:szCs w:val="20"/>
        </w:rPr>
        <w:lastRenderedPageBreak/>
        <w:t>Supplementary Tables</w:t>
      </w:r>
    </w:p>
    <w:p w:rsidR="00422B6E" w:rsidRDefault="0077666C" w:rsidP="00945FA0">
      <w:pPr>
        <w:spacing w:after="0" w:line="480" w:lineRule="auto"/>
        <w:rPr>
          <w:rFonts w:ascii="Arial" w:hAnsi="Arial" w:cs="Arial"/>
          <w:b/>
          <w:sz w:val="20"/>
          <w:szCs w:val="20"/>
        </w:rPr>
      </w:pPr>
      <w:r w:rsidRPr="00DD45F1">
        <w:rPr>
          <w:rFonts w:ascii="Arial" w:hAnsi="Arial" w:cs="Arial"/>
          <w:b/>
          <w:bCs/>
          <w:iCs/>
          <w:sz w:val="20"/>
          <w:szCs w:val="20"/>
        </w:rPr>
        <w:t>Table S1</w:t>
      </w:r>
      <w:r w:rsidR="00DD45F1" w:rsidRPr="00DD45F1">
        <w:rPr>
          <w:rFonts w:ascii="Arial" w:hAnsi="Arial" w:cs="Arial"/>
          <w:b/>
          <w:bCs/>
          <w:iCs/>
          <w:sz w:val="20"/>
          <w:szCs w:val="20"/>
        </w:rPr>
        <w:t>.1:</w:t>
      </w:r>
      <w:r w:rsidRPr="00DD45F1">
        <w:rPr>
          <w:rFonts w:ascii="Arial" w:hAnsi="Arial" w:cs="Arial"/>
          <w:b/>
          <w:bCs/>
          <w:iCs/>
          <w:sz w:val="20"/>
          <w:szCs w:val="20"/>
        </w:rPr>
        <w:t xml:space="preserve"> Characteristics of the cell lines used</w:t>
      </w:r>
      <w:r w:rsidRPr="00E03CDB">
        <w:rPr>
          <w:rFonts w:ascii="Arial" w:hAnsi="Arial" w:cs="Arial"/>
          <w:bCs/>
          <w:iCs/>
          <w:sz w:val="20"/>
          <w:szCs w:val="20"/>
        </w:rPr>
        <w:t xml:space="preserve"> </w:t>
      </w:r>
    </w:p>
    <w:p w:rsidR="00DD45F1" w:rsidRDefault="00DD45F1" w:rsidP="00945FA0">
      <w:pPr>
        <w:spacing w:after="0" w:line="480" w:lineRule="auto"/>
        <w:rPr>
          <w:rFonts w:ascii="Arial" w:hAnsi="Arial" w:cs="Arial"/>
          <w:b/>
          <w:sz w:val="20"/>
          <w:szCs w:val="20"/>
        </w:rPr>
      </w:pPr>
      <w:r>
        <w:rPr>
          <w:rFonts w:ascii="Arial" w:hAnsi="Arial" w:cs="Arial"/>
          <w:b/>
          <w:sz w:val="20"/>
          <w:szCs w:val="20"/>
        </w:rPr>
        <w:t>Table S1.2: IC20 drug doses used per cell line in s-FSC</w:t>
      </w:r>
    </w:p>
    <w:p w:rsidR="00DD45F1" w:rsidRDefault="00E12E9F" w:rsidP="00945FA0">
      <w:pPr>
        <w:spacing w:after="0" w:line="480" w:lineRule="auto"/>
        <w:rPr>
          <w:rFonts w:ascii="Arial" w:hAnsi="Arial" w:cs="Arial"/>
          <w:b/>
          <w:sz w:val="20"/>
          <w:szCs w:val="20"/>
        </w:rPr>
      </w:pPr>
      <w:r w:rsidRPr="00E12E9F">
        <w:rPr>
          <w:rFonts w:ascii="Arial" w:hAnsi="Arial" w:cs="Arial"/>
          <w:b/>
          <w:sz w:val="20"/>
          <w:szCs w:val="20"/>
        </w:rPr>
        <w:t>Table S3.1: Normalized spectral counts of phosphokinases</w:t>
      </w:r>
    </w:p>
    <w:p w:rsidR="00DD45F1" w:rsidRDefault="00030F02" w:rsidP="00945FA0">
      <w:pPr>
        <w:spacing w:after="0" w:line="480" w:lineRule="auto"/>
        <w:rPr>
          <w:rFonts w:ascii="Arial" w:hAnsi="Arial" w:cs="Arial"/>
          <w:b/>
          <w:sz w:val="20"/>
          <w:szCs w:val="20"/>
        </w:rPr>
      </w:pPr>
      <w:r w:rsidRPr="00030F02">
        <w:rPr>
          <w:rFonts w:ascii="Arial" w:hAnsi="Arial" w:cs="Arial"/>
          <w:b/>
          <w:sz w:val="20"/>
          <w:szCs w:val="20"/>
        </w:rPr>
        <w:t>Table S3.2: INKA scores of phosphokinases</w:t>
      </w:r>
    </w:p>
    <w:p w:rsidR="00030F02" w:rsidRPr="00030F02" w:rsidRDefault="00030F02" w:rsidP="00945FA0">
      <w:pPr>
        <w:spacing w:after="0" w:line="480" w:lineRule="auto"/>
        <w:rPr>
          <w:rFonts w:ascii="Arial" w:hAnsi="Arial" w:cs="Arial"/>
          <w:b/>
          <w:sz w:val="20"/>
          <w:szCs w:val="20"/>
        </w:rPr>
      </w:pPr>
      <w:r w:rsidRPr="00030F02">
        <w:rPr>
          <w:rFonts w:ascii="Arial" w:hAnsi="Arial" w:cs="Arial"/>
          <w:b/>
          <w:sz w:val="20"/>
          <w:szCs w:val="20"/>
        </w:rPr>
        <w:t xml:space="preserve">Table S3.3: Effective inhibitory % of ODC for expressed kinases per cell line in </w:t>
      </w:r>
      <w:proofErr w:type="spellStart"/>
      <w:r w:rsidRPr="00030F02">
        <w:rPr>
          <w:rFonts w:ascii="Arial" w:hAnsi="Arial" w:cs="Arial"/>
          <w:b/>
          <w:sz w:val="20"/>
          <w:szCs w:val="20"/>
        </w:rPr>
        <w:t>ccRCC</w:t>
      </w:r>
      <w:proofErr w:type="spellEnd"/>
    </w:p>
    <w:p w:rsidR="00030F02" w:rsidRPr="00030F02" w:rsidRDefault="00030F02" w:rsidP="00945FA0">
      <w:pPr>
        <w:spacing w:after="0" w:line="480" w:lineRule="auto"/>
        <w:rPr>
          <w:rFonts w:ascii="Arial" w:hAnsi="Arial" w:cs="Arial"/>
          <w:b/>
          <w:sz w:val="20"/>
          <w:szCs w:val="20"/>
          <w:lang w:val="en-GB"/>
        </w:rPr>
      </w:pPr>
      <w:r w:rsidRPr="00030F02">
        <w:rPr>
          <w:rFonts w:ascii="Arial" w:eastAsia="Times New Roman" w:hAnsi="Arial" w:cs="Arial"/>
          <w:b/>
          <w:bCs/>
          <w:color w:val="000000"/>
          <w:sz w:val="20"/>
          <w:szCs w:val="20"/>
          <w:lang w:val="en-GB" w:eastAsia="en-GB"/>
        </w:rPr>
        <w:t xml:space="preserve">Table S4.1: Cell viability in s-FSC iteration rounds for </w:t>
      </w:r>
      <w:r>
        <w:rPr>
          <w:rFonts w:ascii="Arial" w:eastAsia="Times New Roman" w:hAnsi="Arial" w:cs="Arial"/>
          <w:b/>
          <w:bCs/>
          <w:color w:val="000000"/>
          <w:sz w:val="20"/>
          <w:szCs w:val="20"/>
          <w:lang w:val="en-GB" w:eastAsia="en-GB"/>
        </w:rPr>
        <w:t>the universal ODCs</w:t>
      </w:r>
    </w:p>
    <w:p w:rsidR="00F85981" w:rsidRPr="00422B6E" w:rsidRDefault="00F85981" w:rsidP="00945FA0">
      <w:pPr>
        <w:spacing w:after="0" w:line="480" w:lineRule="auto"/>
        <w:rPr>
          <w:rFonts w:ascii="Arial" w:hAnsi="Arial" w:cs="Arial"/>
          <w:sz w:val="20"/>
          <w:szCs w:val="20"/>
        </w:rPr>
      </w:pPr>
    </w:p>
    <w:p w:rsidR="004F0DA3" w:rsidRPr="005A5766" w:rsidRDefault="00422B6E" w:rsidP="00945FA0">
      <w:pPr>
        <w:spacing w:after="0" w:line="480" w:lineRule="auto"/>
        <w:rPr>
          <w:rFonts w:ascii="Arial" w:hAnsi="Arial" w:cs="Arial"/>
          <w:b/>
          <w:sz w:val="20"/>
          <w:szCs w:val="20"/>
        </w:rPr>
      </w:pPr>
      <w:r>
        <w:rPr>
          <w:rFonts w:ascii="Arial" w:hAnsi="Arial" w:cs="Arial"/>
          <w:b/>
          <w:sz w:val="20"/>
          <w:szCs w:val="20"/>
        </w:rPr>
        <w:br w:type="page"/>
      </w:r>
      <w:r w:rsidR="00EE40F5" w:rsidRPr="005A5766">
        <w:rPr>
          <w:rFonts w:ascii="Arial" w:hAnsi="Arial" w:cs="Arial"/>
          <w:b/>
          <w:sz w:val="20"/>
          <w:szCs w:val="20"/>
        </w:rPr>
        <w:lastRenderedPageBreak/>
        <w:t>Supplementary References</w:t>
      </w:r>
    </w:p>
    <w:p w:rsidR="00CC76AD" w:rsidRPr="00CC76AD" w:rsidRDefault="00DA73E8" w:rsidP="00CC76AD">
      <w:pPr>
        <w:widowControl w:val="0"/>
        <w:autoSpaceDE w:val="0"/>
        <w:autoSpaceDN w:val="0"/>
        <w:adjustRightInd w:val="0"/>
        <w:spacing w:after="0" w:line="480" w:lineRule="auto"/>
        <w:rPr>
          <w:rFonts w:ascii="Arial" w:hAnsi="Arial" w:cs="Arial"/>
          <w:noProof/>
          <w:sz w:val="20"/>
          <w:szCs w:val="24"/>
        </w:rPr>
      </w:pPr>
      <w:r>
        <w:rPr>
          <w:rFonts w:ascii="Arial" w:hAnsi="Arial" w:cs="Arial"/>
          <w:sz w:val="20"/>
          <w:szCs w:val="20"/>
        </w:rPr>
        <w:fldChar w:fldCharType="begin" w:fldLock="1"/>
      </w:r>
      <w:r>
        <w:rPr>
          <w:rFonts w:ascii="Arial" w:hAnsi="Arial" w:cs="Arial"/>
          <w:sz w:val="20"/>
          <w:szCs w:val="20"/>
        </w:rPr>
        <w:instrText xml:space="preserve">ADDIN Mendeley Bibliography CSL_BIBLIOGRAPHY </w:instrText>
      </w:r>
      <w:r>
        <w:rPr>
          <w:rFonts w:ascii="Arial" w:hAnsi="Arial" w:cs="Arial"/>
          <w:sz w:val="20"/>
          <w:szCs w:val="20"/>
        </w:rPr>
        <w:fldChar w:fldCharType="separate"/>
      </w:r>
      <w:r w:rsidR="00CC76AD" w:rsidRPr="00CC76AD">
        <w:rPr>
          <w:rFonts w:ascii="Arial" w:hAnsi="Arial" w:cs="Arial"/>
          <w:noProof/>
          <w:sz w:val="20"/>
          <w:szCs w:val="24"/>
        </w:rPr>
        <w:t xml:space="preserve">1. Gross-Goupil M, Françlois L, Quivy A, Ravaud A. Axitinib: A Review of its Safety and Efficacy in the Treatment of Adults with Advanced Renal Cell Carcinoma. Clin. Med. Insights Oncol. 2013;7:CMO.S10594. </w:t>
      </w:r>
    </w:p>
    <w:p w:rsidR="00CC76AD" w:rsidRPr="00D25EB0" w:rsidRDefault="00CC76AD" w:rsidP="00CC76AD">
      <w:pPr>
        <w:widowControl w:val="0"/>
        <w:autoSpaceDE w:val="0"/>
        <w:autoSpaceDN w:val="0"/>
        <w:adjustRightInd w:val="0"/>
        <w:spacing w:after="0" w:line="480" w:lineRule="auto"/>
        <w:rPr>
          <w:rFonts w:ascii="Arial" w:hAnsi="Arial" w:cs="Arial"/>
          <w:noProof/>
          <w:sz w:val="20"/>
          <w:szCs w:val="24"/>
          <w:lang w:val="nl-NL"/>
        </w:rPr>
      </w:pPr>
      <w:r w:rsidRPr="00CC76AD">
        <w:rPr>
          <w:rFonts w:ascii="Arial" w:hAnsi="Arial" w:cs="Arial"/>
          <w:noProof/>
          <w:sz w:val="20"/>
          <w:szCs w:val="24"/>
        </w:rPr>
        <w:t xml:space="preserve">2. Bukowski RM, Kabbinavar FF, Figlin RA, Flaherty K, Srinivas S, Vaishampayan U, et al. Randomized phase II study of erlotinib combined with bevacizumab compared with bevacizumab alone in metastatic renal cell cancer. </w:t>
      </w:r>
      <w:r w:rsidRPr="00D25EB0">
        <w:rPr>
          <w:rFonts w:ascii="Arial" w:hAnsi="Arial" w:cs="Arial"/>
          <w:noProof/>
          <w:sz w:val="20"/>
          <w:szCs w:val="24"/>
          <w:lang w:val="nl-NL"/>
        </w:rPr>
        <w:t xml:space="preserve">J. Clin. Oncol. 2007;25:4536–41.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D25EB0">
        <w:rPr>
          <w:rFonts w:ascii="Arial" w:hAnsi="Arial" w:cs="Arial"/>
          <w:noProof/>
          <w:sz w:val="20"/>
          <w:szCs w:val="24"/>
          <w:lang w:val="nl-NL"/>
        </w:rPr>
        <w:t xml:space="preserve">3. Nowak-Sliwinska P, van Beijnum JR, Casini A, Nazarov AA, Wagnieres G, van den Bergh H, et al. </w:t>
      </w:r>
      <w:r w:rsidRPr="00CC76AD">
        <w:rPr>
          <w:rFonts w:ascii="Arial" w:hAnsi="Arial" w:cs="Arial"/>
          <w:noProof/>
          <w:sz w:val="20"/>
          <w:szCs w:val="24"/>
        </w:rPr>
        <w:t xml:space="preserve">Organometallic ruthenium(II) arene compounds with antiangiogenic activity. J. Med. Chem. 2011;54:3895–902.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4. Cho DC, Cohen MB, Panka DJ, Collins M, Ghebremichael M, Atkins MB, et al. The efficacy of the novel dual PI3-kinase/mTOR inhibitor NVP-BEZ235 compared with rapamycin in renal cell carcinoma. Clin. Cancer Res. American Association for Cancer Research Inc.; 2010;16:3628–38.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5. Schöffski P, Awada A, Dumez H, Gil T, Bartholomeus S, Wolter P, et al. A phase I, dose-escalation study of the novel Polo-like kinase inhibitor volasertib (BI 6727) in patients with advanced solid tumours. Eur. J. Cancer. 2012;48:179–86.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6. Li Y, Zhang Z-F, Chen J, Huang D, Ding Y, Tan M-H, et al. VX680/MK-0457, a potent and selective Aurora kinase inhibitor, targets both tumor and endothelial cells in clear cell renal cell carcinoma. Am. J. Transl. Res. 2010;2:296–308.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7. Stillebroer AB, Mulders PFA, Boerman OC, Oyen WJG, Oosterwijk E. Carbonic Anhydrase IX in Renal Cell Carcinoma: Implications for Prognosis, Diagnosis, and Therapy. Eur. Urol. 2010. p. 75–83. </w:t>
      </w:r>
    </w:p>
    <w:p w:rsidR="00CC76AD" w:rsidRPr="00D25EB0" w:rsidRDefault="00CC76AD" w:rsidP="00CC76AD">
      <w:pPr>
        <w:widowControl w:val="0"/>
        <w:autoSpaceDE w:val="0"/>
        <w:autoSpaceDN w:val="0"/>
        <w:adjustRightInd w:val="0"/>
        <w:spacing w:after="0" w:line="480" w:lineRule="auto"/>
        <w:rPr>
          <w:rFonts w:ascii="Arial" w:hAnsi="Arial" w:cs="Arial"/>
          <w:noProof/>
          <w:sz w:val="20"/>
          <w:szCs w:val="24"/>
          <w:lang w:val="nl-NL"/>
        </w:rPr>
      </w:pPr>
      <w:r w:rsidRPr="00CC76AD">
        <w:rPr>
          <w:rFonts w:ascii="Arial" w:hAnsi="Arial" w:cs="Arial"/>
          <w:noProof/>
          <w:sz w:val="20"/>
          <w:szCs w:val="24"/>
        </w:rPr>
        <w:t xml:space="preserve">8. Pacchiano F, Carta F, McDonald PC, Lou Y, Vullo D, Scozzafava A, et al. Ureido-substituted benzenesulfonamides potently inhibit carbonic anhydrase IX and show antimetastatic activity in a model of breast cancer metastasis. </w:t>
      </w:r>
      <w:r w:rsidRPr="00D25EB0">
        <w:rPr>
          <w:rFonts w:ascii="Arial" w:hAnsi="Arial" w:cs="Arial"/>
          <w:noProof/>
          <w:sz w:val="20"/>
          <w:szCs w:val="24"/>
          <w:lang w:val="nl-NL"/>
        </w:rPr>
        <w:t xml:space="preserve">J. Med. Chem. 2011;54:1896–902.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D25EB0">
        <w:rPr>
          <w:rFonts w:ascii="Arial" w:hAnsi="Arial" w:cs="Arial"/>
          <w:noProof/>
          <w:sz w:val="20"/>
          <w:szCs w:val="24"/>
          <w:lang w:val="nl-NL"/>
        </w:rPr>
        <w:t xml:space="preserve">9. Zhang J, Zhang L, Su X, Li M, Xie L, Malchers F, et al. </w:t>
      </w:r>
      <w:r w:rsidRPr="00CC76AD">
        <w:rPr>
          <w:rFonts w:ascii="Arial" w:hAnsi="Arial" w:cs="Arial"/>
          <w:noProof/>
          <w:sz w:val="20"/>
          <w:szCs w:val="24"/>
        </w:rPr>
        <w:t xml:space="preserve">Translating the therapeutic potential of AZD4547 in FGFR1-amplified non-small cell lung cancer through the use of patient-derived tumor xenograft models. Clin. Cancer Res. 2012;18:6658–67.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10. Lewis NL, Lewis LD, Eder JP, Reddy NJ, Guo F, Pierce KJ, et al. Phase I study of the safety, </w:t>
      </w:r>
      <w:r w:rsidRPr="00CC76AD">
        <w:rPr>
          <w:rFonts w:ascii="Arial" w:hAnsi="Arial" w:cs="Arial"/>
          <w:noProof/>
          <w:sz w:val="20"/>
          <w:szCs w:val="24"/>
        </w:rPr>
        <w:lastRenderedPageBreak/>
        <w:t xml:space="preserve">tolerability, and pharmacokinetics of oral CP-868,596, a highly specific platelet-derived growth factor receptor tyrosine kinase inhibitor in patients with advanced cancers. J. Clin. Oncol. 2009;27:5262–9.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11. Berndsen RH, Castrogiovanni C, Weiss A, Rausch M, Dallinga MG, Miljkovic-Licina M, et al. Anti-angiogenic effects of crenolanib are mediated by mitotic modulation independently of PDGFR expression. Br. J. Cancer. 2019;121:139–49.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12. Lombardo LJ, Lee FY, Chen P, Norris D, Barrish JC, Behnia K, et al. Discovery of N-(2-chloro-6-methylphenyl)-2-(6-(4-(2-hydroxyethyl)- piperazin-1-yl)-2-methylpyrimidin-4-ylamino)thiazole-5-carboxamide (BMS-354825), a dual Src/Abl kinase inhibitor with potent antitumor activity in preclinical assays. J. Med. Chem. 2004;47:6658–61.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13. Rini BI. SU11248 and AG013736: Current data and future trials in renal cell carcinoma. Clin. Genitourin. Cancer. Cancer Information Group, LP; 2005. p. 175–80. </w:t>
      </w:r>
    </w:p>
    <w:p w:rsidR="00CC76AD" w:rsidRPr="00D25EB0" w:rsidRDefault="00CC76AD" w:rsidP="00CC76AD">
      <w:pPr>
        <w:widowControl w:val="0"/>
        <w:autoSpaceDE w:val="0"/>
        <w:autoSpaceDN w:val="0"/>
        <w:adjustRightInd w:val="0"/>
        <w:spacing w:after="0" w:line="480" w:lineRule="auto"/>
        <w:rPr>
          <w:rFonts w:ascii="Arial" w:hAnsi="Arial" w:cs="Arial"/>
          <w:noProof/>
          <w:sz w:val="20"/>
          <w:szCs w:val="24"/>
          <w:lang w:val="nl-NL"/>
        </w:rPr>
      </w:pPr>
      <w:r w:rsidRPr="00CC76AD">
        <w:rPr>
          <w:rFonts w:ascii="Arial" w:hAnsi="Arial" w:cs="Arial"/>
          <w:noProof/>
          <w:sz w:val="20"/>
          <w:szCs w:val="24"/>
        </w:rPr>
        <w:t xml:space="preserve">14. Zou HY, Li Q, Lee JH, Arango ME, McDonnell SR, Yamazaki S, et al. An orally available small-molecule inhibitor of c-Met, PF-2341066, exhibits cytoreductive antitumor efficacy through antiproliferative and antiangiogenic mechanisms. </w:t>
      </w:r>
      <w:r w:rsidRPr="00D25EB0">
        <w:rPr>
          <w:rFonts w:ascii="Arial" w:hAnsi="Arial" w:cs="Arial"/>
          <w:noProof/>
          <w:sz w:val="20"/>
          <w:szCs w:val="24"/>
          <w:lang w:val="nl-NL"/>
        </w:rPr>
        <w:t xml:space="preserve">Cancer Res. 2007;67:4408–17. </w:t>
      </w:r>
    </w:p>
    <w:p w:rsidR="00CC76AD" w:rsidRPr="00D25EB0" w:rsidRDefault="00CC76AD" w:rsidP="00CC76AD">
      <w:pPr>
        <w:widowControl w:val="0"/>
        <w:autoSpaceDE w:val="0"/>
        <w:autoSpaceDN w:val="0"/>
        <w:adjustRightInd w:val="0"/>
        <w:spacing w:after="0" w:line="480" w:lineRule="auto"/>
        <w:rPr>
          <w:rFonts w:ascii="Arial" w:hAnsi="Arial" w:cs="Arial"/>
          <w:noProof/>
          <w:sz w:val="20"/>
          <w:szCs w:val="24"/>
          <w:lang w:val="nl-NL"/>
        </w:rPr>
      </w:pPr>
      <w:r w:rsidRPr="00D25EB0">
        <w:rPr>
          <w:rFonts w:ascii="Arial" w:hAnsi="Arial" w:cs="Arial"/>
          <w:noProof/>
          <w:sz w:val="20"/>
          <w:szCs w:val="24"/>
          <w:lang w:val="nl-NL"/>
        </w:rPr>
        <w:t xml:space="preserve">15. Fontijn R, Hop C, Brinkman HJ, Slater R, Westerveld A, van Mourik JA, et al. </w:t>
      </w:r>
      <w:r w:rsidRPr="00CC76AD">
        <w:rPr>
          <w:rFonts w:ascii="Arial" w:hAnsi="Arial" w:cs="Arial"/>
          <w:noProof/>
          <w:sz w:val="20"/>
          <w:szCs w:val="24"/>
        </w:rPr>
        <w:t xml:space="preserve">Maintenance of vascular endothelial cell-specific properties after immortalization with an amphotrophic replication-deficient retrovirus containing human papilloma virus 16 E6/E7 DNA. Exp. </w:t>
      </w:r>
      <w:r w:rsidRPr="00D25EB0">
        <w:rPr>
          <w:rFonts w:ascii="Arial" w:hAnsi="Arial" w:cs="Arial"/>
          <w:noProof/>
          <w:sz w:val="20"/>
          <w:szCs w:val="24"/>
          <w:lang w:val="nl-NL"/>
        </w:rPr>
        <w:t xml:space="preserve">Cell Res. 1995;216:199–207.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D25EB0">
        <w:rPr>
          <w:rFonts w:ascii="Arial" w:hAnsi="Arial" w:cs="Arial"/>
          <w:noProof/>
          <w:sz w:val="20"/>
          <w:szCs w:val="24"/>
          <w:lang w:val="nl-NL"/>
        </w:rPr>
        <w:t xml:space="preserve">16. van Beijnum JR, van der Linden E, Griffioen AW. </w:t>
      </w:r>
      <w:r w:rsidRPr="00CC76AD">
        <w:rPr>
          <w:rFonts w:ascii="Arial" w:hAnsi="Arial" w:cs="Arial"/>
          <w:noProof/>
          <w:sz w:val="20"/>
          <w:szCs w:val="24"/>
        </w:rPr>
        <w:t xml:space="preserve">Angiogenic profiling and comparison of immortalized endothelial cells for functional genomics. Exp. Cell Res. 2008;314:264–72.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17. Weiss A, Berndsen RH, Ding X, Ho C-M, Dyson PJ, van den Bergh H, et al. A streamlined search technology for identification of synergistic drug combinations. Sci. Rep. 2015;5:14508.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18. Nowak-Sliwinska P, Weiss A, Ding X, Dyson PJ, van den Bergh H, Griffioen AW, et al. Optimization of drug combinations using Feedback System Control. Nat. Protoc. 2016;11:302–15. </w:t>
      </w:r>
    </w:p>
    <w:p w:rsidR="00CC76AD" w:rsidRPr="00D25EB0" w:rsidRDefault="00CC76AD" w:rsidP="00CC76AD">
      <w:pPr>
        <w:widowControl w:val="0"/>
        <w:autoSpaceDE w:val="0"/>
        <w:autoSpaceDN w:val="0"/>
        <w:adjustRightInd w:val="0"/>
        <w:spacing w:after="0" w:line="480" w:lineRule="auto"/>
        <w:rPr>
          <w:rFonts w:ascii="Arial" w:hAnsi="Arial" w:cs="Arial"/>
          <w:noProof/>
          <w:sz w:val="20"/>
          <w:szCs w:val="24"/>
          <w:lang w:val="nl-NL"/>
        </w:rPr>
      </w:pPr>
      <w:r w:rsidRPr="00CC76AD">
        <w:rPr>
          <w:rFonts w:ascii="Arial" w:hAnsi="Arial" w:cs="Arial"/>
          <w:noProof/>
          <w:sz w:val="20"/>
          <w:szCs w:val="24"/>
        </w:rPr>
        <w:t xml:space="preserve">19. Nowak-Sliwinska P, Alitalo K, Allen E, Anisimov A, Aplin AC, Auerbach R, et al. Consensus guidelines for the use and interpretation of angiogenesis assays. </w:t>
      </w:r>
      <w:r w:rsidRPr="00D25EB0">
        <w:rPr>
          <w:rFonts w:ascii="Arial" w:hAnsi="Arial" w:cs="Arial"/>
          <w:noProof/>
          <w:sz w:val="20"/>
          <w:szCs w:val="24"/>
          <w:lang w:val="nl-NL"/>
        </w:rPr>
        <w:t xml:space="preserve">Angiogenesis. 2018;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D25EB0">
        <w:rPr>
          <w:rFonts w:ascii="Arial" w:hAnsi="Arial" w:cs="Arial"/>
          <w:noProof/>
          <w:sz w:val="20"/>
          <w:szCs w:val="24"/>
          <w:lang w:val="nl-NL"/>
        </w:rPr>
        <w:t xml:space="preserve">20. van der Mijn JC, Broxterman HJ, Knol JC, Piersma SR, De Haas RR, Dekker H, et al. </w:t>
      </w:r>
      <w:r w:rsidRPr="00CC76AD">
        <w:rPr>
          <w:rFonts w:ascii="Arial" w:hAnsi="Arial" w:cs="Arial"/>
          <w:noProof/>
          <w:sz w:val="20"/>
          <w:szCs w:val="24"/>
        </w:rPr>
        <w:t xml:space="preserve">Sunitinib activates Axl signaling in renal cell cancer. Int. J. Cancer. 2016;138:3002–10.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21. Ciamporcero E, Miles KM, Adelaiye R, Ramakrishnan S, Shen L, Ku S, et al. Combination strategy </w:t>
      </w:r>
      <w:r w:rsidRPr="00CC76AD">
        <w:rPr>
          <w:rFonts w:ascii="Arial" w:hAnsi="Arial" w:cs="Arial"/>
          <w:noProof/>
          <w:sz w:val="20"/>
          <w:szCs w:val="24"/>
        </w:rPr>
        <w:lastRenderedPageBreak/>
        <w:t xml:space="preserve">targeting VEGF and HGF/c-met in human renal cell carcinoma models. Mol. Cancer Ther. 2015;14:101–10.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22. E. A, J.A. L-M, C.-C. L, J.E. G, A. H, D. C, et al. Phase i study of dovitinib (TKI258), an oral FGFR, VEGFR, and PDGFR inhibitor, in advanced or metastatic renal cell carcinoma. Clin. Cancer Res. 2013;19:1257–68.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23. Wang X, Hawk N, Yue P, Kauh J, Ramalingam SS, Fu H, et al. Overcoming mTOR inhibition-induced paradoxical activation of survival signaling pathways enhances mTOR inhibitors’ anticancer efficacy. Cancer Biol. Ther. Landes Bioscience; 2008;7:1952–8.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24. Saka H, Kitagawa C, Kogure Y, Takahashi Y, Fujikawa K, Sagawa T, et al. Safety, tolerability and pharmacokinetics of the fibroblast growth factor receptor inhibitor AZD4547 in Japanese patients with advanced solid tumours: a Phase I study. Invest. New Drugs. Springer New York LLC; 2017;35:451–62.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25. Sprycel | European Medicines Agency [Internet]. [cited 2019 Nov 28]. Available from: https://www.ema.europa.eu/en/medicines/human/EPAR/sprycel</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26. Tarceva | European Medicines Agency [Internet]. [cited 2019 Nov 28]. Available from: https://www.ema.europa.eu/en/medicines/human/EPAR/tarceva</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D25EB0">
        <w:rPr>
          <w:rFonts w:ascii="Arial" w:hAnsi="Arial" w:cs="Arial"/>
          <w:noProof/>
          <w:sz w:val="20"/>
          <w:szCs w:val="24"/>
          <w:lang w:val="nl-NL"/>
        </w:rPr>
        <w:t xml:space="preserve">27. Beekhof R, van Alphen C, Henneman AA, Knol JC, Pham T V, Rolfs F, et al. </w:t>
      </w:r>
      <w:r w:rsidRPr="00CC76AD">
        <w:rPr>
          <w:rFonts w:ascii="Arial" w:hAnsi="Arial" w:cs="Arial"/>
          <w:noProof/>
          <w:sz w:val="20"/>
          <w:szCs w:val="24"/>
        </w:rPr>
        <w:t xml:space="preserve">INKA, an integrative data analysis pipeline for phosphoproteomic inference of active kinases. Mol. Syst. Biol. England; 2019;15:e8250. </w:t>
      </w:r>
    </w:p>
    <w:p w:rsidR="00CC76AD" w:rsidRPr="00CC76AD" w:rsidRDefault="00CC76AD" w:rsidP="00CC76AD">
      <w:pPr>
        <w:widowControl w:val="0"/>
        <w:autoSpaceDE w:val="0"/>
        <w:autoSpaceDN w:val="0"/>
        <w:adjustRightInd w:val="0"/>
        <w:spacing w:after="0" w:line="480" w:lineRule="auto"/>
        <w:rPr>
          <w:rFonts w:ascii="Arial" w:hAnsi="Arial" w:cs="Arial"/>
          <w:noProof/>
          <w:sz w:val="20"/>
          <w:szCs w:val="24"/>
        </w:rPr>
      </w:pPr>
      <w:r w:rsidRPr="00CC76AD">
        <w:rPr>
          <w:rFonts w:ascii="Arial" w:hAnsi="Arial" w:cs="Arial"/>
          <w:noProof/>
          <w:sz w:val="20"/>
          <w:szCs w:val="24"/>
        </w:rPr>
        <w:t xml:space="preserve">28. Perez-Riverol Y, Csordas A, Bai J, Bernal-Llinares M, Hewapathirana S, Kundu DJ, et al. The PRIDE database and related tools and resources in 2019: Improving support for quantification data. Nucleic Acids Res. Oxford University Press; 2019;47:D442–50. </w:t>
      </w:r>
    </w:p>
    <w:p w:rsidR="00CC76AD" w:rsidRPr="00CC76AD" w:rsidRDefault="00CC76AD" w:rsidP="00CC76AD">
      <w:pPr>
        <w:widowControl w:val="0"/>
        <w:autoSpaceDE w:val="0"/>
        <w:autoSpaceDN w:val="0"/>
        <w:adjustRightInd w:val="0"/>
        <w:spacing w:after="0" w:line="480" w:lineRule="auto"/>
        <w:rPr>
          <w:rFonts w:ascii="Arial" w:hAnsi="Arial" w:cs="Arial"/>
          <w:noProof/>
          <w:sz w:val="20"/>
        </w:rPr>
      </w:pPr>
      <w:r w:rsidRPr="00CC76AD">
        <w:rPr>
          <w:rFonts w:ascii="Arial" w:hAnsi="Arial" w:cs="Arial"/>
          <w:noProof/>
          <w:sz w:val="20"/>
          <w:szCs w:val="24"/>
        </w:rPr>
        <w:t xml:space="preserve">29. Klaeger S, Heinzlmeir S, Wilhelm M, Polzer H, Vick B, Koenig P-A, et al. The target landscape of clinical kinase drugs. Science (80-. ). 2017;358:eaan4368. </w:t>
      </w:r>
    </w:p>
    <w:p w:rsidR="00AD7288" w:rsidRPr="005A5766" w:rsidRDefault="00DA73E8" w:rsidP="00CC76AD">
      <w:pPr>
        <w:widowControl w:val="0"/>
        <w:autoSpaceDE w:val="0"/>
        <w:autoSpaceDN w:val="0"/>
        <w:adjustRightInd w:val="0"/>
        <w:spacing w:after="0" w:line="480" w:lineRule="auto"/>
        <w:rPr>
          <w:rFonts w:ascii="Arial" w:hAnsi="Arial" w:cs="Arial"/>
          <w:sz w:val="20"/>
          <w:szCs w:val="20"/>
        </w:rPr>
      </w:pPr>
      <w:r>
        <w:rPr>
          <w:rFonts w:ascii="Arial" w:hAnsi="Arial" w:cs="Arial"/>
          <w:sz w:val="20"/>
          <w:szCs w:val="20"/>
        </w:rPr>
        <w:fldChar w:fldCharType="end"/>
      </w:r>
      <w:bookmarkStart w:id="0" w:name="_GoBack"/>
      <w:bookmarkEnd w:id="0"/>
    </w:p>
    <w:sectPr w:rsidR="00AD7288" w:rsidRPr="005A5766" w:rsidSect="00945FA0">
      <w:footerReference w:type="even" r:id="rId13"/>
      <w:footerReference w:type="default" r:id="rId14"/>
      <w:pgSz w:w="12240" w:h="15840"/>
      <w:pgMar w:top="1440" w:right="1440" w:bottom="15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717" w:rsidRDefault="00241717" w:rsidP="00EE40F5">
      <w:pPr>
        <w:spacing w:after="0" w:line="240" w:lineRule="auto"/>
      </w:pPr>
      <w:r>
        <w:separator/>
      </w:r>
    </w:p>
  </w:endnote>
  <w:endnote w:type="continuationSeparator" w:id="0">
    <w:p w:rsidR="00241717" w:rsidRDefault="00241717" w:rsidP="00EE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B25" w:rsidRDefault="003E0B25" w:rsidP="00D1400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3E0B25" w:rsidRDefault="003E0B25" w:rsidP="005A5766">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588220"/>
      <w:docPartObj>
        <w:docPartGallery w:val="Page Numbers (Bottom of Page)"/>
        <w:docPartUnique/>
      </w:docPartObj>
    </w:sdtPr>
    <w:sdtEndPr/>
    <w:sdtContent>
      <w:p w:rsidR="00945FA0" w:rsidRDefault="00945FA0">
        <w:pPr>
          <w:pStyle w:val="Voettekst"/>
        </w:pPr>
        <w:r>
          <w:fldChar w:fldCharType="begin"/>
        </w:r>
        <w:r>
          <w:instrText>PAGE   \* MERGEFORMAT</w:instrText>
        </w:r>
        <w:r>
          <w:fldChar w:fldCharType="separate"/>
        </w:r>
        <w:r w:rsidR="00FC1F2B" w:rsidRPr="00FC1F2B">
          <w:rPr>
            <w:noProof/>
            <w:lang w:val="nl-NL"/>
          </w:rPr>
          <w:t>20</w:t>
        </w:r>
        <w:r>
          <w:fldChar w:fldCharType="end"/>
        </w:r>
      </w:p>
    </w:sdtContent>
  </w:sdt>
  <w:p w:rsidR="003E0B25" w:rsidRDefault="003E0B25" w:rsidP="005A5766">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717" w:rsidRDefault="00241717" w:rsidP="00EE40F5">
      <w:pPr>
        <w:spacing w:after="0" w:line="240" w:lineRule="auto"/>
      </w:pPr>
      <w:r>
        <w:separator/>
      </w:r>
    </w:p>
  </w:footnote>
  <w:footnote w:type="continuationSeparator" w:id="0">
    <w:p w:rsidR="00241717" w:rsidRDefault="00241717" w:rsidP="00EE4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7A058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5D3F34"/>
    <w:multiLevelType w:val="hybridMultilevel"/>
    <w:tmpl w:val="E7C4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737BD2"/>
    <w:multiLevelType w:val="hybridMultilevel"/>
    <w:tmpl w:val="080629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014CD1"/>
    <w:multiLevelType w:val="hybridMultilevel"/>
    <w:tmpl w:val="D88A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EE607D"/>
    <w:rsid w:val="00014E58"/>
    <w:rsid w:val="00020E87"/>
    <w:rsid w:val="0002303E"/>
    <w:rsid w:val="00030F02"/>
    <w:rsid w:val="00034794"/>
    <w:rsid w:val="00047CDD"/>
    <w:rsid w:val="000539E2"/>
    <w:rsid w:val="00084FAF"/>
    <w:rsid w:val="000A087E"/>
    <w:rsid w:val="000A2B49"/>
    <w:rsid w:val="000B143A"/>
    <w:rsid w:val="000B2F28"/>
    <w:rsid w:val="000B3124"/>
    <w:rsid w:val="000E35EF"/>
    <w:rsid w:val="000F7AE3"/>
    <w:rsid w:val="00101C46"/>
    <w:rsid w:val="0011011D"/>
    <w:rsid w:val="00146990"/>
    <w:rsid w:val="001500AE"/>
    <w:rsid w:val="00160B08"/>
    <w:rsid w:val="00160C38"/>
    <w:rsid w:val="001614F9"/>
    <w:rsid w:val="0016371D"/>
    <w:rsid w:val="00184D31"/>
    <w:rsid w:val="00196FDE"/>
    <w:rsid w:val="001B5EFF"/>
    <w:rsid w:val="001B7BC1"/>
    <w:rsid w:val="001E4580"/>
    <w:rsid w:val="002240EA"/>
    <w:rsid w:val="00241717"/>
    <w:rsid w:val="00274F24"/>
    <w:rsid w:val="002833AD"/>
    <w:rsid w:val="00290624"/>
    <w:rsid w:val="002A1D80"/>
    <w:rsid w:val="002C5AB5"/>
    <w:rsid w:val="002E4208"/>
    <w:rsid w:val="002F1564"/>
    <w:rsid w:val="00337E9E"/>
    <w:rsid w:val="00353C9C"/>
    <w:rsid w:val="00373DA7"/>
    <w:rsid w:val="00391330"/>
    <w:rsid w:val="00397C83"/>
    <w:rsid w:val="003A56FB"/>
    <w:rsid w:val="003C6BF9"/>
    <w:rsid w:val="003E0B25"/>
    <w:rsid w:val="003E2805"/>
    <w:rsid w:val="003E6A99"/>
    <w:rsid w:val="00405C48"/>
    <w:rsid w:val="00422B6E"/>
    <w:rsid w:val="0045055B"/>
    <w:rsid w:val="00452C63"/>
    <w:rsid w:val="00452D1B"/>
    <w:rsid w:val="004639B5"/>
    <w:rsid w:val="004669EE"/>
    <w:rsid w:val="00467969"/>
    <w:rsid w:val="004D7F1F"/>
    <w:rsid w:val="004F0A2C"/>
    <w:rsid w:val="004F0DA3"/>
    <w:rsid w:val="004F620D"/>
    <w:rsid w:val="0050336D"/>
    <w:rsid w:val="00510E0D"/>
    <w:rsid w:val="005364EB"/>
    <w:rsid w:val="005720F3"/>
    <w:rsid w:val="00574FD0"/>
    <w:rsid w:val="0058142B"/>
    <w:rsid w:val="00596971"/>
    <w:rsid w:val="005A0B00"/>
    <w:rsid w:val="005A5766"/>
    <w:rsid w:val="005B12C9"/>
    <w:rsid w:val="005B27AF"/>
    <w:rsid w:val="005C7376"/>
    <w:rsid w:val="005C7B2D"/>
    <w:rsid w:val="005E1BF8"/>
    <w:rsid w:val="005E3D85"/>
    <w:rsid w:val="005E7181"/>
    <w:rsid w:val="005F25A2"/>
    <w:rsid w:val="006931DB"/>
    <w:rsid w:val="006A160A"/>
    <w:rsid w:val="006B6EFF"/>
    <w:rsid w:val="006D0FA2"/>
    <w:rsid w:val="00702738"/>
    <w:rsid w:val="007030B1"/>
    <w:rsid w:val="00711D24"/>
    <w:rsid w:val="00757A3A"/>
    <w:rsid w:val="00773F77"/>
    <w:rsid w:val="0077666C"/>
    <w:rsid w:val="00793D6B"/>
    <w:rsid w:val="007B1617"/>
    <w:rsid w:val="007D19D8"/>
    <w:rsid w:val="00843C0D"/>
    <w:rsid w:val="00846D2A"/>
    <w:rsid w:val="0086164C"/>
    <w:rsid w:val="008706B8"/>
    <w:rsid w:val="008707E2"/>
    <w:rsid w:val="008873D0"/>
    <w:rsid w:val="008A355A"/>
    <w:rsid w:val="008B18FD"/>
    <w:rsid w:val="008C3677"/>
    <w:rsid w:val="008F63BC"/>
    <w:rsid w:val="009132D0"/>
    <w:rsid w:val="00931241"/>
    <w:rsid w:val="00945A99"/>
    <w:rsid w:val="00945FA0"/>
    <w:rsid w:val="009603F1"/>
    <w:rsid w:val="00974784"/>
    <w:rsid w:val="00982739"/>
    <w:rsid w:val="00990D4D"/>
    <w:rsid w:val="009964ED"/>
    <w:rsid w:val="009C531E"/>
    <w:rsid w:val="009D23A1"/>
    <w:rsid w:val="009D7A6F"/>
    <w:rsid w:val="00A00C88"/>
    <w:rsid w:val="00A05FB4"/>
    <w:rsid w:val="00A172F4"/>
    <w:rsid w:val="00A4042C"/>
    <w:rsid w:val="00A51D98"/>
    <w:rsid w:val="00A61FD0"/>
    <w:rsid w:val="00A62419"/>
    <w:rsid w:val="00A666DF"/>
    <w:rsid w:val="00A94847"/>
    <w:rsid w:val="00AC3B6C"/>
    <w:rsid w:val="00AD26EA"/>
    <w:rsid w:val="00AD7288"/>
    <w:rsid w:val="00B2738F"/>
    <w:rsid w:val="00B46A71"/>
    <w:rsid w:val="00B53E46"/>
    <w:rsid w:val="00B63D9D"/>
    <w:rsid w:val="00B76808"/>
    <w:rsid w:val="00B7778D"/>
    <w:rsid w:val="00B83D41"/>
    <w:rsid w:val="00B955B6"/>
    <w:rsid w:val="00BA2E4C"/>
    <w:rsid w:val="00BA6AA3"/>
    <w:rsid w:val="00C045F6"/>
    <w:rsid w:val="00C106BF"/>
    <w:rsid w:val="00C41019"/>
    <w:rsid w:val="00C425C1"/>
    <w:rsid w:val="00C436DF"/>
    <w:rsid w:val="00CA38FB"/>
    <w:rsid w:val="00CC05F8"/>
    <w:rsid w:val="00CC76AD"/>
    <w:rsid w:val="00D06519"/>
    <w:rsid w:val="00D14004"/>
    <w:rsid w:val="00D14848"/>
    <w:rsid w:val="00D17160"/>
    <w:rsid w:val="00D176C3"/>
    <w:rsid w:val="00D24589"/>
    <w:rsid w:val="00D25EB0"/>
    <w:rsid w:val="00D27023"/>
    <w:rsid w:val="00D319EA"/>
    <w:rsid w:val="00D4169D"/>
    <w:rsid w:val="00D44025"/>
    <w:rsid w:val="00D60A13"/>
    <w:rsid w:val="00D61252"/>
    <w:rsid w:val="00D7651E"/>
    <w:rsid w:val="00D81234"/>
    <w:rsid w:val="00D92DB1"/>
    <w:rsid w:val="00DA73E8"/>
    <w:rsid w:val="00DD45F1"/>
    <w:rsid w:val="00DD519A"/>
    <w:rsid w:val="00DF3C90"/>
    <w:rsid w:val="00DF6C84"/>
    <w:rsid w:val="00E03CDB"/>
    <w:rsid w:val="00E06E6F"/>
    <w:rsid w:val="00E07DA6"/>
    <w:rsid w:val="00E12E9F"/>
    <w:rsid w:val="00E144AE"/>
    <w:rsid w:val="00E44512"/>
    <w:rsid w:val="00E61179"/>
    <w:rsid w:val="00E638FB"/>
    <w:rsid w:val="00E66D84"/>
    <w:rsid w:val="00E8256E"/>
    <w:rsid w:val="00E927F8"/>
    <w:rsid w:val="00EA10A3"/>
    <w:rsid w:val="00EE40F5"/>
    <w:rsid w:val="00EE607D"/>
    <w:rsid w:val="00EE7117"/>
    <w:rsid w:val="00EF45AA"/>
    <w:rsid w:val="00F06868"/>
    <w:rsid w:val="00F10ED0"/>
    <w:rsid w:val="00F33215"/>
    <w:rsid w:val="00F447E0"/>
    <w:rsid w:val="00F512B7"/>
    <w:rsid w:val="00F81BDB"/>
    <w:rsid w:val="00F85981"/>
    <w:rsid w:val="00F97414"/>
    <w:rsid w:val="00FA707A"/>
    <w:rsid w:val="00FC1F2B"/>
    <w:rsid w:val="00FD5B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ard">
    <w:name w:val="Normal"/>
    <w:qFormat/>
    <w:rsid w:val="00EE607D"/>
    <w:pPr>
      <w:spacing w:after="200" w:line="276" w:lineRule="auto"/>
    </w:pPr>
    <w:rPr>
      <w:rFonts w:eastAsia="SimSun"/>
      <w:sz w:val="22"/>
      <w:szCs w:val="22"/>
      <w:lang w:val="en-US" w:eastAsia="en-US"/>
    </w:rPr>
  </w:style>
  <w:style w:type="paragraph" w:styleId="Kop1">
    <w:name w:val="heading 1"/>
    <w:basedOn w:val="Standaard"/>
    <w:link w:val="Kop1Char"/>
    <w:uiPriority w:val="9"/>
    <w:qFormat/>
    <w:rsid w:val="00EE607D"/>
    <w:pPr>
      <w:spacing w:before="100" w:beforeAutospacing="1" w:after="100" w:afterAutospacing="1" w:line="240" w:lineRule="auto"/>
      <w:outlineLvl w:val="0"/>
    </w:pPr>
    <w:rPr>
      <w:rFonts w:ascii="Times" w:hAnsi="Times"/>
      <w:b/>
      <w:bCs/>
      <w:kern w:val="36"/>
      <w:sz w:val="48"/>
      <w:szCs w:val="48"/>
      <w:lang w:val="x-none" w:eastAsia="x-none"/>
    </w:rPr>
  </w:style>
  <w:style w:type="paragraph" w:styleId="Kop3">
    <w:name w:val="heading 3"/>
    <w:basedOn w:val="Standaard"/>
    <w:link w:val="Kop3Char"/>
    <w:uiPriority w:val="9"/>
    <w:qFormat/>
    <w:rsid w:val="00EE607D"/>
    <w:pPr>
      <w:spacing w:before="100" w:beforeAutospacing="1" w:after="100" w:afterAutospacing="1" w:line="240" w:lineRule="auto"/>
      <w:outlineLvl w:val="2"/>
    </w:pPr>
    <w:rPr>
      <w:rFonts w:ascii="Times" w:hAnsi="Times"/>
      <w:b/>
      <w:bCs/>
      <w:sz w:val="27"/>
      <w:szCs w:val="27"/>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EE607D"/>
    <w:rPr>
      <w:rFonts w:ascii="Times" w:eastAsia="SimSun" w:hAnsi="Times" w:cs="Times New Roman"/>
      <w:b/>
      <w:bCs/>
      <w:kern w:val="36"/>
      <w:sz w:val="48"/>
      <w:szCs w:val="48"/>
      <w:lang w:val="x-none" w:eastAsia="x-none"/>
    </w:rPr>
  </w:style>
  <w:style w:type="character" w:customStyle="1" w:styleId="Kop3Char">
    <w:name w:val="Kop 3 Char"/>
    <w:link w:val="Kop3"/>
    <w:uiPriority w:val="9"/>
    <w:rsid w:val="00EE607D"/>
    <w:rPr>
      <w:rFonts w:ascii="Times" w:eastAsia="SimSun" w:hAnsi="Times" w:cs="Times New Roman"/>
      <w:b/>
      <w:bCs/>
      <w:sz w:val="27"/>
      <w:szCs w:val="27"/>
      <w:lang w:val="x-none" w:eastAsia="x-none"/>
    </w:rPr>
  </w:style>
  <w:style w:type="character" w:customStyle="1" w:styleId="gi">
    <w:name w:val="gi"/>
    <w:basedOn w:val="Standaardalinea-lettertype"/>
    <w:rsid w:val="00EE607D"/>
  </w:style>
  <w:style w:type="character" w:customStyle="1" w:styleId="highlight">
    <w:name w:val="highlight"/>
    <w:basedOn w:val="Standaardalinea-lettertype"/>
    <w:rsid w:val="00EE607D"/>
  </w:style>
  <w:style w:type="character" w:styleId="Hyperlink">
    <w:name w:val="Hyperlink"/>
    <w:uiPriority w:val="99"/>
    <w:unhideWhenUsed/>
    <w:rsid w:val="00EE607D"/>
    <w:rPr>
      <w:color w:val="0000FF"/>
      <w:u w:val="single"/>
    </w:rPr>
  </w:style>
  <w:style w:type="character" w:styleId="GevolgdeHyperlink">
    <w:name w:val="FollowedHyperlink"/>
    <w:uiPriority w:val="99"/>
    <w:semiHidden/>
    <w:unhideWhenUsed/>
    <w:rsid w:val="00EE607D"/>
    <w:rPr>
      <w:color w:val="800080"/>
      <w:u w:val="single"/>
    </w:rPr>
  </w:style>
  <w:style w:type="paragraph" w:styleId="Ballontekst">
    <w:name w:val="Balloon Text"/>
    <w:basedOn w:val="Standaard"/>
    <w:link w:val="BallontekstChar"/>
    <w:uiPriority w:val="99"/>
    <w:semiHidden/>
    <w:unhideWhenUsed/>
    <w:rsid w:val="00EE607D"/>
    <w:pPr>
      <w:spacing w:after="0" w:line="240" w:lineRule="auto"/>
    </w:pPr>
    <w:rPr>
      <w:rFonts w:ascii="Lucida Grande" w:hAnsi="Lucida Grande"/>
      <w:sz w:val="18"/>
      <w:szCs w:val="18"/>
      <w:lang w:val="x-none" w:eastAsia="x-none"/>
    </w:rPr>
  </w:style>
  <w:style w:type="character" w:customStyle="1" w:styleId="BallontekstChar">
    <w:name w:val="Ballontekst Char"/>
    <w:link w:val="Ballontekst"/>
    <w:uiPriority w:val="99"/>
    <w:semiHidden/>
    <w:rsid w:val="00EE607D"/>
    <w:rPr>
      <w:rFonts w:ascii="Lucida Grande" w:eastAsia="SimSun" w:hAnsi="Lucida Grande" w:cs="Times New Roman"/>
      <w:sz w:val="18"/>
      <w:szCs w:val="18"/>
      <w:lang w:val="x-none" w:eastAsia="x-none"/>
    </w:rPr>
  </w:style>
  <w:style w:type="paragraph" w:styleId="Tekstopmerking">
    <w:name w:val="annotation text"/>
    <w:basedOn w:val="Standaard"/>
    <w:link w:val="TekstopmerkingChar"/>
    <w:uiPriority w:val="99"/>
    <w:rsid w:val="00EE607D"/>
    <w:pPr>
      <w:spacing w:after="0" w:line="240" w:lineRule="auto"/>
    </w:pPr>
    <w:rPr>
      <w:rFonts w:ascii="Times New Roman" w:eastAsia="Cambria" w:hAnsi="Times New Roman"/>
      <w:sz w:val="20"/>
      <w:szCs w:val="20"/>
      <w:lang w:val="x-none" w:eastAsia="fr-FR"/>
    </w:rPr>
  </w:style>
  <w:style w:type="character" w:customStyle="1" w:styleId="TekstopmerkingChar">
    <w:name w:val="Tekst opmerking Char"/>
    <w:link w:val="Tekstopmerking"/>
    <w:uiPriority w:val="99"/>
    <w:rsid w:val="00EE607D"/>
    <w:rPr>
      <w:rFonts w:ascii="Times New Roman" w:eastAsia="Cambria" w:hAnsi="Times New Roman" w:cs="Times New Roman"/>
      <w:sz w:val="20"/>
      <w:szCs w:val="20"/>
      <w:lang w:val="x-none" w:eastAsia="fr-FR"/>
    </w:rPr>
  </w:style>
  <w:style w:type="character" w:styleId="Zwaar">
    <w:name w:val="Strong"/>
    <w:uiPriority w:val="22"/>
    <w:qFormat/>
    <w:rsid w:val="00EE607D"/>
    <w:rPr>
      <w:b/>
      <w:bCs/>
    </w:rPr>
  </w:style>
  <w:style w:type="paragraph" w:styleId="Normaalweb">
    <w:name w:val="Normal (Web)"/>
    <w:basedOn w:val="Standaard"/>
    <w:uiPriority w:val="99"/>
    <w:unhideWhenUsed/>
    <w:rsid w:val="00EE607D"/>
    <w:pPr>
      <w:spacing w:before="100" w:beforeAutospacing="1" w:after="100" w:afterAutospacing="1" w:line="240" w:lineRule="auto"/>
    </w:pPr>
    <w:rPr>
      <w:rFonts w:ascii="Times" w:hAnsi="Times"/>
      <w:sz w:val="20"/>
      <w:szCs w:val="20"/>
    </w:rPr>
  </w:style>
  <w:style w:type="paragraph" w:styleId="Voettekst">
    <w:name w:val="footer"/>
    <w:basedOn w:val="Standaard"/>
    <w:link w:val="VoettekstChar"/>
    <w:uiPriority w:val="99"/>
    <w:unhideWhenUsed/>
    <w:rsid w:val="00EE607D"/>
    <w:pPr>
      <w:tabs>
        <w:tab w:val="center" w:pos="4320"/>
        <w:tab w:val="right" w:pos="8640"/>
      </w:tabs>
      <w:spacing w:after="0" w:line="240" w:lineRule="auto"/>
    </w:pPr>
    <w:rPr>
      <w:lang w:val="x-none" w:eastAsia="x-none"/>
    </w:rPr>
  </w:style>
  <w:style w:type="character" w:customStyle="1" w:styleId="VoettekstChar">
    <w:name w:val="Voettekst Char"/>
    <w:link w:val="Voettekst"/>
    <w:uiPriority w:val="99"/>
    <w:rsid w:val="00EE607D"/>
    <w:rPr>
      <w:rFonts w:ascii="Calibri" w:eastAsia="SimSun" w:hAnsi="Calibri" w:cs="Times New Roman"/>
      <w:lang w:val="x-none" w:eastAsia="x-none"/>
    </w:rPr>
  </w:style>
  <w:style w:type="character" w:styleId="Paginanummer">
    <w:name w:val="page number"/>
    <w:basedOn w:val="Standaardalinea-lettertype"/>
    <w:uiPriority w:val="99"/>
    <w:semiHidden/>
    <w:unhideWhenUsed/>
    <w:rsid w:val="00EE607D"/>
  </w:style>
  <w:style w:type="character" w:styleId="Verwijzingopmerking">
    <w:name w:val="annotation reference"/>
    <w:uiPriority w:val="99"/>
    <w:semiHidden/>
    <w:unhideWhenUsed/>
    <w:rsid w:val="00EE607D"/>
    <w:rPr>
      <w:sz w:val="16"/>
      <w:szCs w:val="16"/>
    </w:rPr>
  </w:style>
  <w:style w:type="paragraph" w:styleId="Onderwerpvanopmerking">
    <w:name w:val="annotation subject"/>
    <w:basedOn w:val="Tekstopmerking"/>
    <w:next w:val="Tekstopmerking"/>
    <w:link w:val="OnderwerpvanopmerkingChar"/>
    <w:uiPriority w:val="99"/>
    <w:semiHidden/>
    <w:unhideWhenUsed/>
    <w:rsid w:val="00EE607D"/>
    <w:pPr>
      <w:spacing w:after="200"/>
    </w:pPr>
    <w:rPr>
      <w:rFonts w:ascii="Calibri" w:eastAsia="SimSun" w:hAnsi="Calibri"/>
      <w:b/>
      <w:bCs/>
    </w:rPr>
  </w:style>
  <w:style w:type="character" w:customStyle="1" w:styleId="OnderwerpvanopmerkingChar">
    <w:name w:val="Onderwerp van opmerking Char"/>
    <w:link w:val="Onderwerpvanopmerking"/>
    <w:uiPriority w:val="99"/>
    <w:semiHidden/>
    <w:rsid w:val="00EE607D"/>
    <w:rPr>
      <w:rFonts w:ascii="Calibri" w:eastAsia="SimSun" w:hAnsi="Calibri" w:cs="Times New Roman"/>
      <w:b/>
      <w:bCs/>
      <w:sz w:val="20"/>
      <w:szCs w:val="20"/>
      <w:lang w:val="x-none" w:eastAsia="fr-FR"/>
    </w:rPr>
  </w:style>
  <w:style w:type="character" w:styleId="Nadruk">
    <w:name w:val="Emphasis"/>
    <w:uiPriority w:val="20"/>
    <w:qFormat/>
    <w:rsid w:val="00EE607D"/>
    <w:rPr>
      <w:i/>
      <w:iCs/>
    </w:rPr>
  </w:style>
  <w:style w:type="character" w:customStyle="1" w:styleId="st">
    <w:name w:val="st"/>
    <w:rsid w:val="00EE607D"/>
  </w:style>
  <w:style w:type="paragraph" w:styleId="Tekstzonderopmaak">
    <w:name w:val="Plain Text"/>
    <w:basedOn w:val="Standaard"/>
    <w:link w:val="TekstzonderopmaakChar"/>
    <w:rsid w:val="00EE607D"/>
    <w:pPr>
      <w:spacing w:after="0" w:line="240" w:lineRule="auto"/>
    </w:pPr>
    <w:rPr>
      <w:rFonts w:ascii="Arial" w:hAnsi="Arial"/>
      <w:b/>
      <w:bCs/>
      <w:sz w:val="28"/>
      <w:szCs w:val="28"/>
      <w:lang w:val="x-none" w:eastAsia="zh-CN"/>
    </w:rPr>
  </w:style>
  <w:style w:type="character" w:customStyle="1" w:styleId="TekstzonderopmaakChar">
    <w:name w:val="Tekst zonder opmaak Char"/>
    <w:link w:val="Tekstzonderopmaak"/>
    <w:rsid w:val="00EE607D"/>
    <w:rPr>
      <w:rFonts w:ascii="Arial" w:eastAsia="SimSun" w:hAnsi="Arial" w:cs="Times New Roman"/>
      <w:b/>
      <w:bCs/>
      <w:sz w:val="28"/>
      <w:szCs w:val="28"/>
      <w:lang w:val="x-none" w:eastAsia="zh-CN"/>
    </w:rPr>
  </w:style>
  <w:style w:type="paragraph" w:customStyle="1" w:styleId="ColorfulList-Accent11">
    <w:name w:val="Colorful List - Accent 11"/>
    <w:basedOn w:val="Standaard"/>
    <w:uiPriority w:val="34"/>
    <w:qFormat/>
    <w:rsid w:val="00EE607D"/>
    <w:pPr>
      <w:ind w:left="720"/>
      <w:contextualSpacing/>
    </w:pPr>
  </w:style>
  <w:style w:type="paragraph" w:customStyle="1" w:styleId="Paragraph">
    <w:name w:val="Paragraph"/>
    <w:basedOn w:val="Standaard"/>
    <w:uiPriority w:val="99"/>
    <w:rsid w:val="00EE607D"/>
    <w:pPr>
      <w:spacing w:before="120" w:after="0" w:line="240" w:lineRule="auto"/>
      <w:ind w:firstLine="720"/>
    </w:pPr>
    <w:rPr>
      <w:rFonts w:ascii="Times New Roman" w:hAnsi="Times New Roman"/>
      <w:sz w:val="24"/>
      <w:szCs w:val="24"/>
    </w:rPr>
  </w:style>
  <w:style w:type="paragraph" w:customStyle="1" w:styleId="Acknowledgement">
    <w:name w:val="Acknowledgement"/>
    <w:basedOn w:val="Standaard"/>
    <w:rsid w:val="00EE607D"/>
    <w:pPr>
      <w:spacing w:before="120" w:after="0" w:line="240" w:lineRule="auto"/>
      <w:ind w:left="720" w:hanging="720"/>
    </w:pPr>
    <w:rPr>
      <w:rFonts w:ascii="Times New Roman" w:eastAsia="Times New Roman" w:hAnsi="Times New Roman"/>
      <w:sz w:val="24"/>
      <w:szCs w:val="24"/>
    </w:rPr>
  </w:style>
  <w:style w:type="paragraph" w:customStyle="1" w:styleId="MediumGrid21">
    <w:name w:val="Medium Grid 21"/>
    <w:link w:val="MediumGrid2Char"/>
    <w:uiPriority w:val="1"/>
    <w:qFormat/>
    <w:rsid w:val="00EE607D"/>
    <w:pPr>
      <w:widowControl w:val="0"/>
      <w:jc w:val="both"/>
    </w:pPr>
    <w:rPr>
      <w:rFonts w:ascii="Times New Roman" w:eastAsia="SimSun" w:hAnsi="Times New Roman"/>
      <w:kern w:val="2"/>
      <w:sz w:val="21"/>
      <w:lang w:val="en-US" w:eastAsia="zh-CN"/>
    </w:rPr>
  </w:style>
  <w:style w:type="character" w:customStyle="1" w:styleId="MediumGrid2Char">
    <w:name w:val="Medium Grid 2 Char"/>
    <w:link w:val="MediumGrid21"/>
    <w:uiPriority w:val="1"/>
    <w:rsid w:val="00EE607D"/>
    <w:rPr>
      <w:rFonts w:ascii="Times New Roman" w:eastAsia="SimSun" w:hAnsi="Times New Roman" w:cs="Times New Roman"/>
      <w:kern w:val="2"/>
      <w:sz w:val="21"/>
      <w:szCs w:val="20"/>
      <w:lang w:eastAsia="zh-CN"/>
    </w:rPr>
  </w:style>
  <w:style w:type="paragraph" w:customStyle="1" w:styleId="TDAckTitle">
    <w:name w:val="TD_Ack_Title"/>
    <w:basedOn w:val="Standaard"/>
    <w:link w:val="TDAckTitleChar"/>
    <w:rsid w:val="00EE607D"/>
    <w:pPr>
      <w:spacing w:before="180" w:after="60" w:line="240" w:lineRule="auto"/>
      <w:jc w:val="both"/>
    </w:pPr>
    <w:rPr>
      <w:rFonts w:ascii="Myriad Pro Light" w:eastAsia="Times New Roman" w:hAnsi="Myriad Pro Light"/>
      <w:b/>
      <w:kern w:val="23"/>
      <w:sz w:val="21"/>
      <w:szCs w:val="20"/>
      <w:lang w:val="x-none" w:eastAsia="x-none"/>
    </w:rPr>
  </w:style>
  <w:style w:type="character" w:customStyle="1" w:styleId="TDAckTitleChar">
    <w:name w:val="TD_Ack_Title Char"/>
    <w:link w:val="TDAckTitle"/>
    <w:rsid w:val="00EE607D"/>
    <w:rPr>
      <w:rFonts w:ascii="Myriad Pro Light" w:eastAsia="Times New Roman" w:hAnsi="Myriad Pro Light" w:cs="Times New Roman"/>
      <w:b/>
      <w:kern w:val="23"/>
      <w:sz w:val="21"/>
      <w:szCs w:val="20"/>
      <w:lang w:val="x-none" w:eastAsia="x-none"/>
    </w:rPr>
  </w:style>
  <w:style w:type="table" w:styleId="Tabelraster">
    <w:name w:val="Table Grid"/>
    <w:basedOn w:val="Standaardtabel"/>
    <w:uiPriority w:val="39"/>
    <w:rsid w:val="0077666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ard"/>
    <w:link w:val="EndNoteBibliographyTitleChar"/>
    <w:rsid w:val="0077666C"/>
    <w:pPr>
      <w:spacing w:after="0"/>
      <w:jc w:val="center"/>
    </w:pPr>
    <w:rPr>
      <w:rFonts w:cs="Calibri"/>
    </w:rPr>
  </w:style>
  <w:style w:type="character" w:customStyle="1" w:styleId="EndNoteBibliographyTitleChar">
    <w:name w:val="EndNote Bibliography Title Char"/>
    <w:link w:val="EndNoteBibliographyTitle"/>
    <w:rsid w:val="0077666C"/>
    <w:rPr>
      <w:rFonts w:eastAsia="SimSun" w:cs="Calibri"/>
      <w:sz w:val="22"/>
      <w:szCs w:val="22"/>
      <w:lang w:val="en-US"/>
    </w:rPr>
  </w:style>
  <w:style w:type="paragraph" w:customStyle="1" w:styleId="EndNoteBibliography">
    <w:name w:val="EndNote Bibliography"/>
    <w:basedOn w:val="Standaard"/>
    <w:link w:val="EndNoteBibliographyChar"/>
    <w:rsid w:val="0077666C"/>
    <w:pPr>
      <w:spacing w:line="240" w:lineRule="auto"/>
    </w:pPr>
    <w:rPr>
      <w:rFonts w:cs="Calibri"/>
    </w:rPr>
  </w:style>
  <w:style w:type="character" w:customStyle="1" w:styleId="EndNoteBibliographyChar">
    <w:name w:val="EndNote Bibliography Char"/>
    <w:link w:val="EndNoteBibliography"/>
    <w:rsid w:val="0077666C"/>
    <w:rPr>
      <w:rFonts w:eastAsia="SimSun" w:cs="Calibri"/>
      <w:sz w:val="22"/>
      <w:szCs w:val="22"/>
      <w:lang w:val="en-US"/>
    </w:rPr>
  </w:style>
  <w:style w:type="character" w:customStyle="1" w:styleId="UnresolvedMention1">
    <w:name w:val="Unresolved Mention1"/>
    <w:uiPriority w:val="99"/>
    <w:semiHidden/>
    <w:unhideWhenUsed/>
    <w:rsid w:val="0077666C"/>
    <w:rPr>
      <w:color w:val="605E5C"/>
      <w:shd w:val="clear" w:color="auto" w:fill="E1DFDD"/>
    </w:rPr>
  </w:style>
  <w:style w:type="paragraph" w:customStyle="1" w:styleId="Gemiddeldraster21">
    <w:name w:val="Gemiddeld raster 21"/>
    <w:link w:val="Gemiddeldraster2Char"/>
    <w:uiPriority w:val="1"/>
    <w:qFormat/>
    <w:rsid w:val="002F1564"/>
    <w:rPr>
      <w:sz w:val="22"/>
      <w:szCs w:val="22"/>
      <w:lang w:val="nl-NL" w:eastAsia="en-US"/>
    </w:rPr>
  </w:style>
  <w:style w:type="character" w:customStyle="1" w:styleId="Gemiddeldraster2Char">
    <w:name w:val="Gemiddeld raster 2 Char"/>
    <w:link w:val="Gemiddeldraster21"/>
    <w:uiPriority w:val="1"/>
    <w:rsid w:val="002F1564"/>
    <w:rPr>
      <w:sz w:val="22"/>
      <w:szCs w:val="22"/>
      <w:lang w:val="nl-NL" w:eastAsia="en-US"/>
    </w:rPr>
  </w:style>
  <w:style w:type="paragraph" w:customStyle="1" w:styleId="Kleurrijkearcering-accent11">
    <w:name w:val="Kleurrijke arcering - accent 11"/>
    <w:hidden/>
    <w:uiPriority w:val="99"/>
    <w:semiHidden/>
    <w:rsid w:val="007D19D8"/>
    <w:rPr>
      <w:rFonts w:eastAsia="SimSun"/>
      <w:sz w:val="22"/>
      <w:szCs w:val="22"/>
      <w:lang w:val="en-US" w:eastAsia="en-US"/>
    </w:rPr>
  </w:style>
  <w:style w:type="character" w:customStyle="1" w:styleId="GeenafstandChar">
    <w:name w:val="Geen afstand Char"/>
    <w:link w:val="Geenafstand"/>
    <w:uiPriority w:val="1"/>
    <w:locked/>
    <w:rsid w:val="00E8256E"/>
  </w:style>
  <w:style w:type="paragraph" w:styleId="Geenafstand">
    <w:name w:val="No Spacing"/>
    <w:link w:val="GeenafstandChar"/>
    <w:uiPriority w:val="1"/>
    <w:qFormat/>
    <w:rsid w:val="00E8256E"/>
  </w:style>
  <w:style w:type="paragraph" w:styleId="Koptekst">
    <w:name w:val="header"/>
    <w:basedOn w:val="Standaard"/>
    <w:link w:val="KoptekstChar"/>
    <w:uiPriority w:val="99"/>
    <w:unhideWhenUsed/>
    <w:rsid w:val="00945F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5FA0"/>
    <w:rPr>
      <w:rFonts w:eastAsia="SimSun"/>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ard">
    <w:name w:val="Normal"/>
    <w:qFormat/>
    <w:rsid w:val="00EE607D"/>
    <w:pPr>
      <w:spacing w:after="200" w:line="276" w:lineRule="auto"/>
    </w:pPr>
    <w:rPr>
      <w:rFonts w:eastAsia="SimSun"/>
      <w:sz w:val="22"/>
      <w:szCs w:val="22"/>
      <w:lang w:val="en-US" w:eastAsia="en-US"/>
    </w:rPr>
  </w:style>
  <w:style w:type="paragraph" w:styleId="Kop1">
    <w:name w:val="heading 1"/>
    <w:basedOn w:val="Standaard"/>
    <w:link w:val="Kop1Char"/>
    <w:uiPriority w:val="9"/>
    <w:qFormat/>
    <w:rsid w:val="00EE607D"/>
    <w:pPr>
      <w:spacing w:before="100" w:beforeAutospacing="1" w:after="100" w:afterAutospacing="1" w:line="240" w:lineRule="auto"/>
      <w:outlineLvl w:val="0"/>
    </w:pPr>
    <w:rPr>
      <w:rFonts w:ascii="Times" w:hAnsi="Times"/>
      <w:b/>
      <w:bCs/>
      <w:kern w:val="36"/>
      <w:sz w:val="48"/>
      <w:szCs w:val="48"/>
      <w:lang w:val="x-none" w:eastAsia="x-none"/>
    </w:rPr>
  </w:style>
  <w:style w:type="paragraph" w:styleId="Kop3">
    <w:name w:val="heading 3"/>
    <w:basedOn w:val="Standaard"/>
    <w:link w:val="Kop3Char"/>
    <w:uiPriority w:val="9"/>
    <w:qFormat/>
    <w:rsid w:val="00EE607D"/>
    <w:pPr>
      <w:spacing w:before="100" w:beforeAutospacing="1" w:after="100" w:afterAutospacing="1" w:line="240" w:lineRule="auto"/>
      <w:outlineLvl w:val="2"/>
    </w:pPr>
    <w:rPr>
      <w:rFonts w:ascii="Times" w:hAnsi="Times"/>
      <w:b/>
      <w:bCs/>
      <w:sz w:val="27"/>
      <w:szCs w:val="27"/>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EE607D"/>
    <w:rPr>
      <w:rFonts w:ascii="Times" w:eastAsia="SimSun" w:hAnsi="Times" w:cs="Times New Roman"/>
      <w:b/>
      <w:bCs/>
      <w:kern w:val="36"/>
      <w:sz w:val="48"/>
      <w:szCs w:val="48"/>
      <w:lang w:val="x-none" w:eastAsia="x-none"/>
    </w:rPr>
  </w:style>
  <w:style w:type="character" w:customStyle="1" w:styleId="Kop3Char">
    <w:name w:val="Kop 3 Char"/>
    <w:link w:val="Kop3"/>
    <w:uiPriority w:val="9"/>
    <w:rsid w:val="00EE607D"/>
    <w:rPr>
      <w:rFonts w:ascii="Times" w:eastAsia="SimSun" w:hAnsi="Times" w:cs="Times New Roman"/>
      <w:b/>
      <w:bCs/>
      <w:sz w:val="27"/>
      <w:szCs w:val="27"/>
      <w:lang w:val="x-none" w:eastAsia="x-none"/>
    </w:rPr>
  </w:style>
  <w:style w:type="character" w:customStyle="1" w:styleId="gi">
    <w:name w:val="gi"/>
    <w:basedOn w:val="Standaardalinea-lettertype"/>
    <w:rsid w:val="00EE607D"/>
  </w:style>
  <w:style w:type="character" w:customStyle="1" w:styleId="highlight">
    <w:name w:val="highlight"/>
    <w:basedOn w:val="Standaardalinea-lettertype"/>
    <w:rsid w:val="00EE607D"/>
  </w:style>
  <w:style w:type="character" w:styleId="Hyperlink">
    <w:name w:val="Hyperlink"/>
    <w:uiPriority w:val="99"/>
    <w:unhideWhenUsed/>
    <w:rsid w:val="00EE607D"/>
    <w:rPr>
      <w:color w:val="0000FF"/>
      <w:u w:val="single"/>
    </w:rPr>
  </w:style>
  <w:style w:type="character" w:styleId="GevolgdeHyperlink">
    <w:name w:val="FollowedHyperlink"/>
    <w:uiPriority w:val="99"/>
    <w:semiHidden/>
    <w:unhideWhenUsed/>
    <w:rsid w:val="00EE607D"/>
    <w:rPr>
      <w:color w:val="800080"/>
      <w:u w:val="single"/>
    </w:rPr>
  </w:style>
  <w:style w:type="paragraph" w:styleId="Ballontekst">
    <w:name w:val="Balloon Text"/>
    <w:basedOn w:val="Standaard"/>
    <w:link w:val="BallontekstChar"/>
    <w:uiPriority w:val="99"/>
    <w:semiHidden/>
    <w:unhideWhenUsed/>
    <w:rsid w:val="00EE607D"/>
    <w:pPr>
      <w:spacing w:after="0" w:line="240" w:lineRule="auto"/>
    </w:pPr>
    <w:rPr>
      <w:rFonts w:ascii="Lucida Grande" w:hAnsi="Lucida Grande"/>
      <w:sz w:val="18"/>
      <w:szCs w:val="18"/>
      <w:lang w:val="x-none" w:eastAsia="x-none"/>
    </w:rPr>
  </w:style>
  <w:style w:type="character" w:customStyle="1" w:styleId="BallontekstChar">
    <w:name w:val="Ballontekst Char"/>
    <w:link w:val="Ballontekst"/>
    <w:uiPriority w:val="99"/>
    <w:semiHidden/>
    <w:rsid w:val="00EE607D"/>
    <w:rPr>
      <w:rFonts w:ascii="Lucida Grande" w:eastAsia="SimSun" w:hAnsi="Lucida Grande" w:cs="Times New Roman"/>
      <w:sz w:val="18"/>
      <w:szCs w:val="18"/>
      <w:lang w:val="x-none" w:eastAsia="x-none"/>
    </w:rPr>
  </w:style>
  <w:style w:type="paragraph" w:styleId="Tekstopmerking">
    <w:name w:val="annotation text"/>
    <w:basedOn w:val="Standaard"/>
    <w:link w:val="TekstopmerkingChar"/>
    <w:uiPriority w:val="99"/>
    <w:rsid w:val="00EE607D"/>
    <w:pPr>
      <w:spacing w:after="0" w:line="240" w:lineRule="auto"/>
    </w:pPr>
    <w:rPr>
      <w:rFonts w:ascii="Times New Roman" w:eastAsia="Cambria" w:hAnsi="Times New Roman"/>
      <w:sz w:val="20"/>
      <w:szCs w:val="20"/>
      <w:lang w:val="x-none" w:eastAsia="fr-FR"/>
    </w:rPr>
  </w:style>
  <w:style w:type="character" w:customStyle="1" w:styleId="TekstopmerkingChar">
    <w:name w:val="Tekst opmerking Char"/>
    <w:link w:val="Tekstopmerking"/>
    <w:uiPriority w:val="99"/>
    <w:rsid w:val="00EE607D"/>
    <w:rPr>
      <w:rFonts w:ascii="Times New Roman" w:eastAsia="Cambria" w:hAnsi="Times New Roman" w:cs="Times New Roman"/>
      <w:sz w:val="20"/>
      <w:szCs w:val="20"/>
      <w:lang w:val="x-none" w:eastAsia="fr-FR"/>
    </w:rPr>
  </w:style>
  <w:style w:type="character" w:styleId="Zwaar">
    <w:name w:val="Strong"/>
    <w:uiPriority w:val="22"/>
    <w:qFormat/>
    <w:rsid w:val="00EE607D"/>
    <w:rPr>
      <w:b/>
      <w:bCs/>
    </w:rPr>
  </w:style>
  <w:style w:type="paragraph" w:styleId="Normaalweb">
    <w:name w:val="Normal (Web)"/>
    <w:basedOn w:val="Standaard"/>
    <w:uiPriority w:val="99"/>
    <w:unhideWhenUsed/>
    <w:rsid w:val="00EE607D"/>
    <w:pPr>
      <w:spacing w:before="100" w:beforeAutospacing="1" w:after="100" w:afterAutospacing="1" w:line="240" w:lineRule="auto"/>
    </w:pPr>
    <w:rPr>
      <w:rFonts w:ascii="Times" w:hAnsi="Times"/>
      <w:sz w:val="20"/>
      <w:szCs w:val="20"/>
    </w:rPr>
  </w:style>
  <w:style w:type="paragraph" w:styleId="Voettekst">
    <w:name w:val="footer"/>
    <w:basedOn w:val="Standaard"/>
    <w:link w:val="VoettekstChar"/>
    <w:uiPriority w:val="99"/>
    <w:unhideWhenUsed/>
    <w:rsid w:val="00EE607D"/>
    <w:pPr>
      <w:tabs>
        <w:tab w:val="center" w:pos="4320"/>
        <w:tab w:val="right" w:pos="8640"/>
      </w:tabs>
      <w:spacing w:after="0" w:line="240" w:lineRule="auto"/>
    </w:pPr>
    <w:rPr>
      <w:lang w:val="x-none" w:eastAsia="x-none"/>
    </w:rPr>
  </w:style>
  <w:style w:type="character" w:customStyle="1" w:styleId="VoettekstChar">
    <w:name w:val="Voettekst Char"/>
    <w:link w:val="Voettekst"/>
    <w:uiPriority w:val="99"/>
    <w:rsid w:val="00EE607D"/>
    <w:rPr>
      <w:rFonts w:ascii="Calibri" w:eastAsia="SimSun" w:hAnsi="Calibri" w:cs="Times New Roman"/>
      <w:lang w:val="x-none" w:eastAsia="x-none"/>
    </w:rPr>
  </w:style>
  <w:style w:type="character" w:styleId="Paginanummer">
    <w:name w:val="page number"/>
    <w:basedOn w:val="Standaardalinea-lettertype"/>
    <w:uiPriority w:val="99"/>
    <w:semiHidden/>
    <w:unhideWhenUsed/>
    <w:rsid w:val="00EE607D"/>
  </w:style>
  <w:style w:type="character" w:styleId="Verwijzingopmerking">
    <w:name w:val="annotation reference"/>
    <w:uiPriority w:val="99"/>
    <w:semiHidden/>
    <w:unhideWhenUsed/>
    <w:rsid w:val="00EE607D"/>
    <w:rPr>
      <w:sz w:val="16"/>
      <w:szCs w:val="16"/>
    </w:rPr>
  </w:style>
  <w:style w:type="paragraph" w:styleId="Onderwerpvanopmerking">
    <w:name w:val="annotation subject"/>
    <w:basedOn w:val="Tekstopmerking"/>
    <w:next w:val="Tekstopmerking"/>
    <w:link w:val="OnderwerpvanopmerkingChar"/>
    <w:uiPriority w:val="99"/>
    <w:semiHidden/>
    <w:unhideWhenUsed/>
    <w:rsid w:val="00EE607D"/>
    <w:pPr>
      <w:spacing w:after="200"/>
    </w:pPr>
    <w:rPr>
      <w:rFonts w:ascii="Calibri" w:eastAsia="SimSun" w:hAnsi="Calibri"/>
      <w:b/>
      <w:bCs/>
    </w:rPr>
  </w:style>
  <w:style w:type="character" w:customStyle="1" w:styleId="OnderwerpvanopmerkingChar">
    <w:name w:val="Onderwerp van opmerking Char"/>
    <w:link w:val="Onderwerpvanopmerking"/>
    <w:uiPriority w:val="99"/>
    <w:semiHidden/>
    <w:rsid w:val="00EE607D"/>
    <w:rPr>
      <w:rFonts w:ascii="Calibri" w:eastAsia="SimSun" w:hAnsi="Calibri" w:cs="Times New Roman"/>
      <w:b/>
      <w:bCs/>
      <w:sz w:val="20"/>
      <w:szCs w:val="20"/>
      <w:lang w:val="x-none" w:eastAsia="fr-FR"/>
    </w:rPr>
  </w:style>
  <w:style w:type="character" w:styleId="Nadruk">
    <w:name w:val="Emphasis"/>
    <w:uiPriority w:val="20"/>
    <w:qFormat/>
    <w:rsid w:val="00EE607D"/>
    <w:rPr>
      <w:i/>
      <w:iCs/>
    </w:rPr>
  </w:style>
  <w:style w:type="character" w:customStyle="1" w:styleId="st">
    <w:name w:val="st"/>
    <w:rsid w:val="00EE607D"/>
  </w:style>
  <w:style w:type="paragraph" w:styleId="Tekstzonderopmaak">
    <w:name w:val="Plain Text"/>
    <w:basedOn w:val="Standaard"/>
    <w:link w:val="TekstzonderopmaakChar"/>
    <w:rsid w:val="00EE607D"/>
    <w:pPr>
      <w:spacing w:after="0" w:line="240" w:lineRule="auto"/>
    </w:pPr>
    <w:rPr>
      <w:rFonts w:ascii="Arial" w:hAnsi="Arial"/>
      <w:b/>
      <w:bCs/>
      <w:sz w:val="28"/>
      <w:szCs w:val="28"/>
      <w:lang w:val="x-none" w:eastAsia="zh-CN"/>
    </w:rPr>
  </w:style>
  <w:style w:type="character" w:customStyle="1" w:styleId="TekstzonderopmaakChar">
    <w:name w:val="Tekst zonder opmaak Char"/>
    <w:link w:val="Tekstzonderopmaak"/>
    <w:rsid w:val="00EE607D"/>
    <w:rPr>
      <w:rFonts w:ascii="Arial" w:eastAsia="SimSun" w:hAnsi="Arial" w:cs="Times New Roman"/>
      <w:b/>
      <w:bCs/>
      <w:sz w:val="28"/>
      <w:szCs w:val="28"/>
      <w:lang w:val="x-none" w:eastAsia="zh-CN"/>
    </w:rPr>
  </w:style>
  <w:style w:type="paragraph" w:customStyle="1" w:styleId="ColorfulList-Accent11">
    <w:name w:val="Colorful List - Accent 11"/>
    <w:basedOn w:val="Standaard"/>
    <w:uiPriority w:val="34"/>
    <w:qFormat/>
    <w:rsid w:val="00EE607D"/>
    <w:pPr>
      <w:ind w:left="720"/>
      <w:contextualSpacing/>
    </w:pPr>
  </w:style>
  <w:style w:type="paragraph" w:customStyle="1" w:styleId="Paragraph">
    <w:name w:val="Paragraph"/>
    <w:basedOn w:val="Standaard"/>
    <w:uiPriority w:val="99"/>
    <w:rsid w:val="00EE607D"/>
    <w:pPr>
      <w:spacing w:before="120" w:after="0" w:line="240" w:lineRule="auto"/>
      <w:ind w:firstLine="720"/>
    </w:pPr>
    <w:rPr>
      <w:rFonts w:ascii="Times New Roman" w:hAnsi="Times New Roman"/>
      <w:sz w:val="24"/>
      <w:szCs w:val="24"/>
    </w:rPr>
  </w:style>
  <w:style w:type="paragraph" w:customStyle="1" w:styleId="Acknowledgement">
    <w:name w:val="Acknowledgement"/>
    <w:basedOn w:val="Standaard"/>
    <w:rsid w:val="00EE607D"/>
    <w:pPr>
      <w:spacing w:before="120" w:after="0" w:line="240" w:lineRule="auto"/>
      <w:ind w:left="720" w:hanging="720"/>
    </w:pPr>
    <w:rPr>
      <w:rFonts w:ascii="Times New Roman" w:eastAsia="Times New Roman" w:hAnsi="Times New Roman"/>
      <w:sz w:val="24"/>
      <w:szCs w:val="24"/>
    </w:rPr>
  </w:style>
  <w:style w:type="paragraph" w:customStyle="1" w:styleId="MediumGrid21">
    <w:name w:val="Medium Grid 21"/>
    <w:link w:val="MediumGrid2Char"/>
    <w:uiPriority w:val="1"/>
    <w:qFormat/>
    <w:rsid w:val="00EE607D"/>
    <w:pPr>
      <w:widowControl w:val="0"/>
      <w:jc w:val="both"/>
    </w:pPr>
    <w:rPr>
      <w:rFonts w:ascii="Times New Roman" w:eastAsia="SimSun" w:hAnsi="Times New Roman"/>
      <w:kern w:val="2"/>
      <w:sz w:val="21"/>
      <w:lang w:val="en-US" w:eastAsia="zh-CN"/>
    </w:rPr>
  </w:style>
  <w:style w:type="character" w:customStyle="1" w:styleId="MediumGrid2Char">
    <w:name w:val="Medium Grid 2 Char"/>
    <w:link w:val="MediumGrid21"/>
    <w:uiPriority w:val="1"/>
    <w:rsid w:val="00EE607D"/>
    <w:rPr>
      <w:rFonts w:ascii="Times New Roman" w:eastAsia="SimSun" w:hAnsi="Times New Roman" w:cs="Times New Roman"/>
      <w:kern w:val="2"/>
      <w:sz w:val="21"/>
      <w:szCs w:val="20"/>
      <w:lang w:eastAsia="zh-CN"/>
    </w:rPr>
  </w:style>
  <w:style w:type="paragraph" w:customStyle="1" w:styleId="TDAckTitle">
    <w:name w:val="TD_Ack_Title"/>
    <w:basedOn w:val="Standaard"/>
    <w:link w:val="TDAckTitleChar"/>
    <w:rsid w:val="00EE607D"/>
    <w:pPr>
      <w:spacing w:before="180" w:after="60" w:line="240" w:lineRule="auto"/>
      <w:jc w:val="both"/>
    </w:pPr>
    <w:rPr>
      <w:rFonts w:ascii="Myriad Pro Light" w:eastAsia="Times New Roman" w:hAnsi="Myriad Pro Light"/>
      <w:b/>
      <w:kern w:val="23"/>
      <w:sz w:val="21"/>
      <w:szCs w:val="20"/>
      <w:lang w:val="x-none" w:eastAsia="x-none"/>
    </w:rPr>
  </w:style>
  <w:style w:type="character" w:customStyle="1" w:styleId="TDAckTitleChar">
    <w:name w:val="TD_Ack_Title Char"/>
    <w:link w:val="TDAckTitle"/>
    <w:rsid w:val="00EE607D"/>
    <w:rPr>
      <w:rFonts w:ascii="Myriad Pro Light" w:eastAsia="Times New Roman" w:hAnsi="Myriad Pro Light" w:cs="Times New Roman"/>
      <w:b/>
      <w:kern w:val="23"/>
      <w:sz w:val="21"/>
      <w:szCs w:val="20"/>
      <w:lang w:val="x-none" w:eastAsia="x-none"/>
    </w:rPr>
  </w:style>
  <w:style w:type="table" w:styleId="Tabelraster">
    <w:name w:val="Table Grid"/>
    <w:basedOn w:val="Standaardtabel"/>
    <w:uiPriority w:val="39"/>
    <w:rsid w:val="0077666C"/>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ard"/>
    <w:link w:val="EndNoteBibliographyTitleChar"/>
    <w:rsid w:val="0077666C"/>
    <w:pPr>
      <w:spacing w:after="0"/>
      <w:jc w:val="center"/>
    </w:pPr>
    <w:rPr>
      <w:rFonts w:cs="Calibri"/>
    </w:rPr>
  </w:style>
  <w:style w:type="character" w:customStyle="1" w:styleId="EndNoteBibliographyTitleChar">
    <w:name w:val="EndNote Bibliography Title Char"/>
    <w:link w:val="EndNoteBibliographyTitle"/>
    <w:rsid w:val="0077666C"/>
    <w:rPr>
      <w:rFonts w:eastAsia="SimSun" w:cs="Calibri"/>
      <w:sz w:val="22"/>
      <w:szCs w:val="22"/>
      <w:lang w:val="en-US"/>
    </w:rPr>
  </w:style>
  <w:style w:type="paragraph" w:customStyle="1" w:styleId="EndNoteBibliography">
    <w:name w:val="EndNote Bibliography"/>
    <w:basedOn w:val="Standaard"/>
    <w:link w:val="EndNoteBibliographyChar"/>
    <w:rsid w:val="0077666C"/>
    <w:pPr>
      <w:spacing w:line="240" w:lineRule="auto"/>
    </w:pPr>
    <w:rPr>
      <w:rFonts w:cs="Calibri"/>
    </w:rPr>
  </w:style>
  <w:style w:type="character" w:customStyle="1" w:styleId="EndNoteBibliographyChar">
    <w:name w:val="EndNote Bibliography Char"/>
    <w:link w:val="EndNoteBibliography"/>
    <w:rsid w:val="0077666C"/>
    <w:rPr>
      <w:rFonts w:eastAsia="SimSun" w:cs="Calibri"/>
      <w:sz w:val="22"/>
      <w:szCs w:val="22"/>
      <w:lang w:val="en-US"/>
    </w:rPr>
  </w:style>
  <w:style w:type="character" w:customStyle="1" w:styleId="UnresolvedMention1">
    <w:name w:val="Unresolved Mention1"/>
    <w:uiPriority w:val="99"/>
    <w:semiHidden/>
    <w:unhideWhenUsed/>
    <w:rsid w:val="0077666C"/>
    <w:rPr>
      <w:color w:val="605E5C"/>
      <w:shd w:val="clear" w:color="auto" w:fill="E1DFDD"/>
    </w:rPr>
  </w:style>
  <w:style w:type="paragraph" w:customStyle="1" w:styleId="Gemiddeldraster21">
    <w:name w:val="Gemiddeld raster 21"/>
    <w:link w:val="Gemiddeldraster2Char"/>
    <w:uiPriority w:val="1"/>
    <w:qFormat/>
    <w:rsid w:val="002F1564"/>
    <w:rPr>
      <w:sz w:val="22"/>
      <w:szCs w:val="22"/>
      <w:lang w:val="nl-NL" w:eastAsia="en-US"/>
    </w:rPr>
  </w:style>
  <w:style w:type="character" w:customStyle="1" w:styleId="Gemiddeldraster2Char">
    <w:name w:val="Gemiddeld raster 2 Char"/>
    <w:link w:val="Gemiddeldraster21"/>
    <w:uiPriority w:val="1"/>
    <w:rsid w:val="002F1564"/>
    <w:rPr>
      <w:sz w:val="22"/>
      <w:szCs w:val="22"/>
      <w:lang w:val="nl-NL" w:eastAsia="en-US"/>
    </w:rPr>
  </w:style>
  <w:style w:type="paragraph" w:customStyle="1" w:styleId="Kleurrijkearcering-accent11">
    <w:name w:val="Kleurrijke arcering - accent 11"/>
    <w:hidden/>
    <w:uiPriority w:val="99"/>
    <w:semiHidden/>
    <w:rsid w:val="007D19D8"/>
    <w:rPr>
      <w:rFonts w:eastAsia="SimSun"/>
      <w:sz w:val="22"/>
      <w:szCs w:val="22"/>
      <w:lang w:val="en-US" w:eastAsia="en-US"/>
    </w:rPr>
  </w:style>
  <w:style w:type="character" w:customStyle="1" w:styleId="GeenafstandChar">
    <w:name w:val="Geen afstand Char"/>
    <w:link w:val="Geenafstand"/>
    <w:uiPriority w:val="1"/>
    <w:locked/>
    <w:rsid w:val="00E8256E"/>
  </w:style>
  <w:style w:type="paragraph" w:styleId="Geenafstand">
    <w:name w:val="No Spacing"/>
    <w:link w:val="GeenafstandChar"/>
    <w:uiPriority w:val="1"/>
    <w:qFormat/>
    <w:rsid w:val="00E8256E"/>
  </w:style>
  <w:style w:type="paragraph" w:styleId="Koptekst">
    <w:name w:val="header"/>
    <w:basedOn w:val="Standaard"/>
    <w:link w:val="KoptekstChar"/>
    <w:uiPriority w:val="99"/>
    <w:unhideWhenUsed/>
    <w:rsid w:val="00945F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5FA0"/>
    <w:rPr>
      <w:rFonts w:eastAsia="SimSu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8159">
      <w:bodyDiv w:val="1"/>
      <w:marLeft w:val="0"/>
      <w:marRight w:val="0"/>
      <w:marTop w:val="0"/>
      <w:marBottom w:val="0"/>
      <w:divBdr>
        <w:top w:val="none" w:sz="0" w:space="0" w:color="auto"/>
        <w:left w:val="none" w:sz="0" w:space="0" w:color="auto"/>
        <w:bottom w:val="none" w:sz="0" w:space="0" w:color="auto"/>
        <w:right w:val="none" w:sz="0" w:space="0" w:color="auto"/>
      </w:divBdr>
    </w:div>
    <w:div w:id="110129673">
      <w:bodyDiv w:val="1"/>
      <w:marLeft w:val="0"/>
      <w:marRight w:val="0"/>
      <w:marTop w:val="0"/>
      <w:marBottom w:val="0"/>
      <w:divBdr>
        <w:top w:val="none" w:sz="0" w:space="0" w:color="auto"/>
        <w:left w:val="none" w:sz="0" w:space="0" w:color="auto"/>
        <w:bottom w:val="none" w:sz="0" w:space="0" w:color="auto"/>
        <w:right w:val="none" w:sz="0" w:space="0" w:color="auto"/>
      </w:divBdr>
    </w:div>
    <w:div w:id="125781922">
      <w:bodyDiv w:val="1"/>
      <w:marLeft w:val="0"/>
      <w:marRight w:val="0"/>
      <w:marTop w:val="0"/>
      <w:marBottom w:val="0"/>
      <w:divBdr>
        <w:top w:val="none" w:sz="0" w:space="0" w:color="auto"/>
        <w:left w:val="none" w:sz="0" w:space="0" w:color="auto"/>
        <w:bottom w:val="none" w:sz="0" w:space="0" w:color="auto"/>
        <w:right w:val="none" w:sz="0" w:space="0" w:color="auto"/>
      </w:divBdr>
    </w:div>
    <w:div w:id="430707008">
      <w:bodyDiv w:val="1"/>
      <w:marLeft w:val="0"/>
      <w:marRight w:val="0"/>
      <w:marTop w:val="0"/>
      <w:marBottom w:val="0"/>
      <w:divBdr>
        <w:top w:val="none" w:sz="0" w:space="0" w:color="auto"/>
        <w:left w:val="none" w:sz="0" w:space="0" w:color="auto"/>
        <w:bottom w:val="none" w:sz="0" w:space="0" w:color="auto"/>
        <w:right w:val="none" w:sz="0" w:space="0" w:color="auto"/>
      </w:divBdr>
    </w:div>
    <w:div w:id="439616140">
      <w:bodyDiv w:val="1"/>
      <w:marLeft w:val="0"/>
      <w:marRight w:val="0"/>
      <w:marTop w:val="0"/>
      <w:marBottom w:val="0"/>
      <w:divBdr>
        <w:top w:val="none" w:sz="0" w:space="0" w:color="auto"/>
        <w:left w:val="none" w:sz="0" w:space="0" w:color="auto"/>
        <w:bottom w:val="none" w:sz="0" w:space="0" w:color="auto"/>
        <w:right w:val="none" w:sz="0" w:space="0" w:color="auto"/>
      </w:divBdr>
    </w:div>
    <w:div w:id="637536984">
      <w:bodyDiv w:val="1"/>
      <w:marLeft w:val="0"/>
      <w:marRight w:val="0"/>
      <w:marTop w:val="0"/>
      <w:marBottom w:val="0"/>
      <w:divBdr>
        <w:top w:val="none" w:sz="0" w:space="0" w:color="auto"/>
        <w:left w:val="none" w:sz="0" w:space="0" w:color="auto"/>
        <w:bottom w:val="none" w:sz="0" w:space="0" w:color="auto"/>
        <w:right w:val="none" w:sz="0" w:space="0" w:color="auto"/>
      </w:divBdr>
    </w:div>
    <w:div w:id="733241551">
      <w:bodyDiv w:val="1"/>
      <w:marLeft w:val="0"/>
      <w:marRight w:val="0"/>
      <w:marTop w:val="0"/>
      <w:marBottom w:val="0"/>
      <w:divBdr>
        <w:top w:val="none" w:sz="0" w:space="0" w:color="auto"/>
        <w:left w:val="none" w:sz="0" w:space="0" w:color="auto"/>
        <w:bottom w:val="none" w:sz="0" w:space="0" w:color="auto"/>
        <w:right w:val="none" w:sz="0" w:space="0" w:color="auto"/>
      </w:divBdr>
    </w:div>
    <w:div w:id="796870468">
      <w:bodyDiv w:val="1"/>
      <w:marLeft w:val="0"/>
      <w:marRight w:val="0"/>
      <w:marTop w:val="0"/>
      <w:marBottom w:val="0"/>
      <w:divBdr>
        <w:top w:val="none" w:sz="0" w:space="0" w:color="auto"/>
        <w:left w:val="none" w:sz="0" w:space="0" w:color="auto"/>
        <w:bottom w:val="none" w:sz="0" w:space="0" w:color="auto"/>
        <w:right w:val="none" w:sz="0" w:space="0" w:color="auto"/>
      </w:divBdr>
    </w:div>
    <w:div w:id="814955288">
      <w:bodyDiv w:val="1"/>
      <w:marLeft w:val="0"/>
      <w:marRight w:val="0"/>
      <w:marTop w:val="0"/>
      <w:marBottom w:val="0"/>
      <w:divBdr>
        <w:top w:val="none" w:sz="0" w:space="0" w:color="auto"/>
        <w:left w:val="none" w:sz="0" w:space="0" w:color="auto"/>
        <w:bottom w:val="none" w:sz="0" w:space="0" w:color="auto"/>
        <w:right w:val="none" w:sz="0" w:space="0" w:color="auto"/>
      </w:divBdr>
    </w:div>
    <w:div w:id="864293807">
      <w:bodyDiv w:val="1"/>
      <w:marLeft w:val="0"/>
      <w:marRight w:val="0"/>
      <w:marTop w:val="0"/>
      <w:marBottom w:val="0"/>
      <w:divBdr>
        <w:top w:val="none" w:sz="0" w:space="0" w:color="auto"/>
        <w:left w:val="none" w:sz="0" w:space="0" w:color="auto"/>
        <w:bottom w:val="none" w:sz="0" w:space="0" w:color="auto"/>
        <w:right w:val="none" w:sz="0" w:space="0" w:color="auto"/>
      </w:divBdr>
    </w:div>
    <w:div w:id="1075861403">
      <w:bodyDiv w:val="1"/>
      <w:marLeft w:val="0"/>
      <w:marRight w:val="0"/>
      <w:marTop w:val="0"/>
      <w:marBottom w:val="0"/>
      <w:divBdr>
        <w:top w:val="none" w:sz="0" w:space="0" w:color="auto"/>
        <w:left w:val="none" w:sz="0" w:space="0" w:color="auto"/>
        <w:bottom w:val="none" w:sz="0" w:space="0" w:color="auto"/>
        <w:right w:val="none" w:sz="0" w:space="0" w:color="auto"/>
      </w:divBdr>
    </w:div>
    <w:div w:id="1131636610">
      <w:bodyDiv w:val="1"/>
      <w:marLeft w:val="0"/>
      <w:marRight w:val="0"/>
      <w:marTop w:val="0"/>
      <w:marBottom w:val="0"/>
      <w:divBdr>
        <w:top w:val="none" w:sz="0" w:space="0" w:color="auto"/>
        <w:left w:val="none" w:sz="0" w:space="0" w:color="auto"/>
        <w:bottom w:val="none" w:sz="0" w:space="0" w:color="auto"/>
        <w:right w:val="none" w:sz="0" w:space="0" w:color="auto"/>
      </w:divBdr>
    </w:div>
    <w:div w:id="1256405056">
      <w:bodyDiv w:val="1"/>
      <w:marLeft w:val="0"/>
      <w:marRight w:val="0"/>
      <w:marTop w:val="0"/>
      <w:marBottom w:val="0"/>
      <w:divBdr>
        <w:top w:val="none" w:sz="0" w:space="0" w:color="auto"/>
        <w:left w:val="none" w:sz="0" w:space="0" w:color="auto"/>
        <w:bottom w:val="none" w:sz="0" w:space="0" w:color="auto"/>
        <w:right w:val="none" w:sz="0" w:space="0" w:color="auto"/>
      </w:divBdr>
    </w:div>
    <w:div w:id="1361007949">
      <w:bodyDiv w:val="1"/>
      <w:marLeft w:val="0"/>
      <w:marRight w:val="0"/>
      <w:marTop w:val="0"/>
      <w:marBottom w:val="0"/>
      <w:divBdr>
        <w:top w:val="none" w:sz="0" w:space="0" w:color="auto"/>
        <w:left w:val="none" w:sz="0" w:space="0" w:color="auto"/>
        <w:bottom w:val="none" w:sz="0" w:space="0" w:color="auto"/>
        <w:right w:val="none" w:sz="0" w:space="0" w:color="auto"/>
      </w:divBdr>
    </w:div>
    <w:div w:id="1425494424">
      <w:bodyDiv w:val="1"/>
      <w:marLeft w:val="0"/>
      <w:marRight w:val="0"/>
      <w:marTop w:val="0"/>
      <w:marBottom w:val="0"/>
      <w:divBdr>
        <w:top w:val="none" w:sz="0" w:space="0" w:color="auto"/>
        <w:left w:val="none" w:sz="0" w:space="0" w:color="auto"/>
        <w:bottom w:val="none" w:sz="0" w:space="0" w:color="auto"/>
        <w:right w:val="none" w:sz="0" w:space="0" w:color="auto"/>
      </w:divBdr>
    </w:div>
    <w:div w:id="1427187353">
      <w:bodyDiv w:val="1"/>
      <w:marLeft w:val="0"/>
      <w:marRight w:val="0"/>
      <w:marTop w:val="0"/>
      <w:marBottom w:val="0"/>
      <w:divBdr>
        <w:top w:val="none" w:sz="0" w:space="0" w:color="auto"/>
        <w:left w:val="none" w:sz="0" w:space="0" w:color="auto"/>
        <w:bottom w:val="none" w:sz="0" w:space="0" w:color="auto"/>
        <w:right w:val="none" w:sz="0" w:space="0" w:color="auto"/>
      </w:divBdr>
    </w:div>
    <w:div w:id="1432509650">
      <w:bodyDiv w:val="1"/>
      <w:marLeft w:val="0"/>
      <w:marRight w:val="0"/>
      <w:marTop w:val="0"/>
      <w:marBottom w:val="0"/>
      <w:divBdr>
        <w:top w:val="none" w:sz="0" w:space="0" w:color="auto"/>
        <w:left w:val="none" w:sz="0" w:space="0" w:color="auto"/>
        <w:bottom w:val="none" w:sz="0" w:space="0" w:color="auto"/>
        <w:right w:val="none" w:sz="0" w:space="0" w:color="auto"/>
      </w:divBdr>
    </w:div>
    <w:div w:id="1438015683">
      <w:bodyDiv w:val="1"/>
      <w:marLeft w:val="0"/>
      <w:marRight w:val="0"/>
      <w:marTop w:val="0"/>
      <w:marBottom w:val="0"/>
      <w:divBdr>
        <w:top w:val="none" w:sz="0" w:space="0" w:color="auto"/>
        <w:left w:val="none" w:sz="0" w:space="0" w:color="auto"/>
        <w:bottom w:val="none" w:sz="0" w:space="0" w:color="auto"/>
        <w:right w:val="none" w:sz="0" w:space="0" w:color="auto"/>
      </w:divBdr>
    </w:div>
    <w:div w:id="1445416945">
      <w:bodyDiv w:val="1"/>
      <w:marLeft w:val="0"/>
      <w:marRight w:val="0"/>
      <w:marTop w:val="0"/>
      <w:marBottom w:val="0"/>
      <w:divBdr>
        <w:top w:val="none" w:sz="0" w:space="0" w:color="auto"/>
        <w:left w:val="none" w:sz="0" w:space="0" w:color="auto"/>
        <w:bottom w:val="none" w:sz="0" w:space="0" w:color="auto"/>
        <w:right w:val="none" w:sz="0" w:space="0" w:color="auto"/>
      </w:divBdr>
    </w:div>
    <w:div w:id="1518234891">
      <w:bodyDiv w:val="1"/>
      <w:marLeft w:val="0"/>
      <w:marRight w:val="0"/>
      <w:marTop w:val="0"/>
      <w:marBottom w:val="0"/>
      <w:divBdr>
        <w:top w:val="none" w:sz="0" w:space="0" w:color="auto"/>
        <w:left w:val="none" w:sz="0" w:space="0" w:color="auto"/>
        <w:bottom w:val="none" w:sz="0" w:space="0" w:color="auto"/>
        <w:right w:val="none" w:sz="0" w:space="0" w:color="auto"/>
      </w:divBdr>
    </w:div>
    <w:div w:id="1556697128">
      <w:bodyDiv w:val="1"/>
      <w:marLeft w:val="0"/>
      <w:marRight w:val="0"/>
      <w:marTop w:val="0"/>
      <w:marBottom w:val="0"/>
      <w:divBdr>
        <w:top w:val="none" w:sz="0" w:space="0" w:color="auto"/>
        <w:left w:val="none" w:sz="0" w:space="0" w:color="auto"/>
        <w:bottom w:val="none" w:sz="0" w:space="0" w:color="auto"/>
        <w:right w:val="none" w:sz="0" w:space="0" w:color="auto"/>
      </w:divBdr>
    </w:div>
    <w:div w:id="1613783470">
      <w:bodyDiv w:val="1"/>
      <w:marLeft w:val="0"/>
      <w:marRight w:val="0"/>
      <w:marTop w:val="0"/>
      <w:marBottom w:val="0"/>
      <w:divBdr>
        <w:top w:val="none" w:sz="0" w:space="0" w:color="auto"/>
        <w:left w:val="none" w:sz="0" w:space="0" w:color="auto"/>
        <w:bottom w:val="none" w:sz="0" w:space="0" w:color="auto"/>
        <w:right w:val="none" w:sz="0" w:space="0" w:color="auto"/>
      </w:divBdr>
    </w:div>
    <w:div w:id="1732576806">
      <w:bodyDiv w:val="1"/>
      <w:marLeft w:val="0"/>
      <w:marRight w:val="0"/>
      <w:marTop w:val="0"/>
      <w:marBottom w:val="0"/>
      <w:divBdr>
        <w:top w:val="none" w:sz="0" w:space="0" w:color="auto"/>
        <w:left w:val="none" w:sz="0" w:space="0" w:color="auto"/>
        <w:bottom w:val="none" w:sz="0" w:space="0" w:color="auto"/>
        <w:right w:val="none" w:sz="0" w:space="0" w:color="auto"/>
      </w:divBdr>
    </w:div>
    <w:div w:id="1914269952">
      <w:bodyDiv w:val="1"/>
      <w:marLeft w:val="0"/>
      <w:marRight w:val="0"/>
      <w:marTop w:val="0"/>
      <w:marBottom w:val="0"/>
      <w:divBdr>
        <w:top w:val="none" w:sz="0" w:space="0" w:color="auto"/>
        <w:left w:val="none" w:sz="0" w:space="0" w:color="auto"/>
        <w:bottom w:val="none" w:sz="0" w:space="0" w:color="auto"/>
        <w:right w:val="none" w:sz="0" w:space="0" w:color="auto"/>
      </w:divBdr>
    </w:div>
    <w:div w:id="1976443894">
      <w:bodyDiv w:val="1"/>
      <w:marLeft w:val="0"/>
      <w:marRight w:val="0"/>
      <w:marTop w:val="0"/>
      <w:marBottom w:val="0"/>
      <w:divBdr>
        <w:top w:val="none" w:sz="0" w:space="0" w:color="auto"/>
        <w:left w:val="none" w:sz="0" w:space="0" w:color="auto"/>
        <w:bottom w:val="none" w:sz="0" w:space="0" w:color="auto"/>
        <w:right w:val="none" w:sz="0" w:space="0" w:color="auto"/>
      </w:divBdr>
    </w:div>
    <w:div w:id="2034839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teomicsdb.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teomicsdb.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Patrycja.Nowak-Sliwinska@unige.ch"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798DA-2414-432A-AA84-BF2261510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25109</Words>
  <Characters>143126</Characters>
  <Application>Microsoft Office Word</Application>
  <DocSecurity>0</DocSecurity>
  <Lines>1192</Lines>
  <Paragraphs>335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167900</CharactersWithSpaces>
  <SharedDoc>false</SharedDoc>
  <HLinks>
    <vt:vector size="18" baseType="variant">
      <vt:variant>
        <vt:i4>4718665</vt:i4>
      </vt:variant>
      <vt:variant>
        <vt:i4>63</vt:i4>
      </vt:variant>
      <vt:variant>
        <vt:i4>0</vt:i4>
      </vt:variant>
      <vt:variant>
        <vt:i4>5</vt:i4>
      </vt:variant>
      <vt:variant>
        <vt:lpwstr>http://www.proteomicsdb.org/</vt:lpwstr>
      </vt:variant>
      <vt:variant>
        <vt:lpwstr/>
      </vt:variant>
      <vt:variant>
        <vt:i4>4718665</vt:i4>
      </vt:variant>
      <vt:variant>
        <vt:i4>60</vt:i4>
      </vt:variant>
      <vt:variant>
        <vt:i4>0</vt:i4>
      </vt:variant>
      <vt:variant>
        <vt:i4>5</vt:i4>
      </vt:variant>
      <vt:variant>
        <vt:lpwstr>http://www.proteomicsdb.org/</vt:lpwstr>
      </vt:variant>
      <vt:variant>
        <vt:lpwstr/>
      </vt:variant>
      <vt:variant>
        <vt:i4>4325387</vt:i4>
      </vt:variant>
      <vt:variant>
        <vt:i4>57</vt:i4>
      </vt:variant>
      <vt:variant>
        <vt:i4>0</vt:i4>
      </vt:variant>
      <vt:variant>
        <vt:i4>5</vt:i4>
      </vt:variant>
      <vt:variant>
        <vt:lpwstr/>
      </vt:variant>
      <vt:variant>
        <vt:lpwstr>_ENREF_33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J van Beijnum</cp:lastModifiedBy>
  <cp:revision>2</cp:revision>
  <cp:lastPrinted>2019-12-23T09:59:00Z</cp:lastPrinted>
  <dcterms:created xsi:type="dcterms:W3CDTF">2020-07-27T06:29:00Z</dcterms:created>
  <dcterms:modified xsi:type="dcterms:W3CDTF">2020-07-27T06:29:00Z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http://csl.mendeley.com/styles/446427241/biochemical-journal-2</vt:lpwstr>
  </property>
  <property fmtid="{D5CDD505-2E9C-101B-9397-08002B2CF9AE}" pid="3" name="Mendeley Recent Style Name 0_1">
    <vt:lpwstr>Biochemical Journal - Judy van Beijnum</vt:lpwstr>
  </property>
  <property fmtid="{D5CDD505-2E9C-101B-9397-08002B2CF9AE}" pid="4" name="Mendeley Recent Style Id 1_1">
    <vt:lpwstr>http://www.zotero.org/styles/cell-reports</vt:lpwstr>
  </property>
  <property fmtid="{D5CDD505-2E9C-101B-9397-08002B2CF9AE}" pid="5" name="Mendeley Recent Style Name 1_1">
    <vt:lpwstr>Cell Reports</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http://www.zotero.org/styles/journal-of-molecular-medicine</vt:lpwstr>
  </property>
  <property fmtid="{D5CDD505-2E9C-101B-9397-08002B2CF9AE}" pid="9" name="Mendeley Recent Style Name 3_1">
    <vt:lpwstr>Journal of Molecular Medicine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7th edition</vt:lpwstr>
  </property>
  <property fmtid="{D5CDD505-2E9C-101B-9397-08002B2CF9AE}" pid="14" name="Mendeley Recent Style Id 6_1">
    <vt:lpwstr>http://www.zotero.org/styles/molecular-cancer</vt:lpwstr>
  </property>
  <property fmtid="{D5CDD505-2E9C-101B-9397-08002B2CF9AE}" pid="15" name="Mendeley Recent Style Name 6_1">
    <vt:lpwstr>Molecular Cancer</vt:lpwstr>
  </property>
  <property fmtid="{D5CDD505-2E9C-101B-9397-08002B2CF9AE}" pid="16" name="Mendeley Recent Style Id 7_1">
    <vt:lpwstr>http://www.zotero.org/styles/plos-biology</vt:lpwstr>
  </property>
  <property fmtid="{D5CDD505-2E9C-101B-9397-08002B2CF9AE}" pid="17" name="Mendeley Recent Style Name 7_1">
    <vt:lpwstr>PLOS Biology</vt:lpwstr>
  </property>
  <property fmtid="{D5CDD505-2E9C-101B-9397-08002B2CF9AE}" pid="18" name="Mendeley Recent Style Id 8_1">
    <vt:lpwstr>http://www.zotero.org/styles/pnas</vt:lpwstr>
  </property>
  <property fmtid="{D5CDD505-2E9C-101B-9397-08002B2CF9AE}" pid="19" name="Mendeley Recent Style Name 8_1">
    <vt:lpwstr>Proceedings of the National Academy of Sciences of the United States of America</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d251ab94-5cd6-3dff-9168-e913e075475b</vt:lpwstr>
  </property>
  <property fmtid="{D5CDD505-2E9C-101B-9397-08002B2CF9AE}" pid="24" name="Mendeley Citation Style_1">
    <vt:lpwstr>http://www.zotero.org/styles/molecular-cancer</vt:lpwstr>
  </property>
</Properties>
</file>